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CD7" w:rsidRDefault="004B0C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60"/>
        <w:gridCol w:w="7379"/>
        <w:gridCol w:w="1693"/>
      </w:tblGrid>
      <w:tr w:rsidR="004B0CD7">
        <w:trPr>
          <w:trHeight w:val="15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CD7" w:rsidRDefault="001E3D25">
            <w:pPr>
              <w:pStyle w:val="normal"/>
              <w:tabs>
                <w:tab w:val="left" w:pos="34"/>
              </w:tabs>
              <w:spacing w:before="160"/>
              <w:ind w:left="-108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643890" cy="64389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890" cy="6438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D7" w:rsidRDefault="004B0CD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B0CD7" w:rsidRDefault="001E3D2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ISTITUTO COMPRENSIVO STATALE “TINA MERLIN”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DI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BELLUNO</w:t>
            </w:r>
          </w:p>
          <w:p w:rsidR="004B0CD7" w:rsidRDefault="001E3D2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SCUOLE INFANZIA - SCUOLE PRIMARIE - SCUOLA SECONDARIA 1° GRADO</w:t>
            </w:r>
          </w:p>
          <w:p w:rsidR="004B0CD7" w:rsidRDefault="001E3D25">
            <w:pPr>
              <w:pStyle w:val="normal"/>
              <w:shd w:val="clear" w:color="auto" w:fill="FFFFFF"/>
              <w:spacing w:after="0" w:line="278" w:lineRule="auto"/>
              <w:ind w:left="58" w:hanging="5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Via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Cadola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,12  - 32100 BELLUNO     Tel.0437931814     C.F. 93049270254</w:t>
            </w:r>
          </w:p>
          <w:p w:rsidR="004B0CD7" w:rsidRDefault="004B0CD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hyperlink r:id="rId6">
              <w:r w:rsidR="001E3D25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www.ictinamerlin.gov.it</w:t>
              </w:r>
            </w:hyperlink>
            <w:r w:rsidR="001E3D25">
              <w:rPr>
                <w:rFonts w:ascii="Times New Roman" w:eastAsia="Times New Roman" w:hAnsi="Times New Roman" w:cs="Times New Roman"/>
              </w:rPr>
              <w:t xml:space="preserve">   - </w:t>
            </w:r>
            <w:r w:rsidR="001E3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hyperlink r:id="rId7">
              <w:r w:rsidR="001E3D25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blic831003@pec.istruzione.it</w:t>
              </w:r>
            </w:hyperlink>
            <w:r w:rsidR="001E3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hyperlink r:id="rId8">
              <w:r w:rsidR="001E3D25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blic831003@.istruzione.it</w:t>
              </w:r>
            </w:hyperlink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D7" w:rsidRDefault="001E3D25">
            <w:pPr>
              <w:pStyle w:val="normal"/>
              <w:spacing w:before="180" w:after="0"/>
              <w:ind w:lef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975600" cy="660457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600" cy="66045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0CD7" w:rsidRDefault="001E3D25"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VERBALE COLLEGIO DOCENTI UNITARIO</w:t>
      </w:r>
    </w:p>
    <w:p w:rsidR="004B0CD7" w:rsidRDefault="001E3D25"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ISTITUTO COMPRENSIVO “TINA MERLIN”</w:t>
      </w:r>
    </w:p>
    <w:p w:rsidR="004B0CD7" w:rsidRDefault="001E3D25"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LUNEDI’ 18 MAGGIO ORE 15 </w:t>
      </w:r>
    </w:p>
    <w:p w:rsidR="004B0CD7" w:rsidRDefault="001E3D2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364" w:after="0" w:line="240" w:lineRule="auto"/>
        <w:rPr>
          <w:rFonts w:ascii="Arial" w:eastAsia="Arial" w:hAnsi="Arial" w:cs="Arial"/>
          <w:b/>
          <w:color w:val="181800"/>
          <w:sz w:val="12"/>
          <w:szCs w:val="1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 collegio si è svolto in modalità telematica con l'uso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Il link per collegarsi è stato  inviato a tutti i docenti entro venerdì 15 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gio. Le attestazioni di presenza e le votazioni delle delibere sono state raccolte tra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mite modulo google, come nei precedenti collegi. </w:t>
      </w:r>
      <w:r>
        <w:rPr>
          <w:rFonts w:ascii="Arial" w:eastAsia="Arial" w:hAnsi="Arial" w:cs="Arial"/>
          <w:b/>
          <w:color w:val="181800"/>
          <w:sz w:val="12"/>
          <w:szCs w:val="12"/>
        </w:rPr>
        <w:t> </w:t>
      </w:r>
    </w:p>
    <w:p w:rsidR="004B0CD7" w:rsidRDefault="004B0CD7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364" w:after="0" w:line="240" w:lineRule="auto"/>
        <w:rPr>
          <w:rFonts w:ascii="Arial" w:eastAsia="Arial" w:hAnsi="Arial" w:cs="Arial"/>
          <w:b/>
          <w:color w:val="181800"/>
          <w:sz w:val="12"/>
          <w:szCs w:val="12"/>
        </w:rPr>
      </w:pPr>
    </w:p>
    <w:p w:rsidR="004B0CD7" w:rsidRDefault="001E3D25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L'Ordine del giorno dell'incontro è il seguente: </w:t>
      </w:r>
    </w:p>
    <w:p w:rsidR="004B0CD7" w:rsidRDefault="001E3D2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33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Approvazione verbale della seduta del 21 ottobre 2019</w:t>
      </w:r>
    </w:p>
    <w:p w:rsidR="004B0CD7" w:rsidRDefault="001E3D2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33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Progetti per il trattenimento di due alunni nelle scuole dell'infanzia di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Mur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Cadola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 Sopracroda (a cura delle fiduciarie delle due scuole) </w:t>
      </w:r>
    </w:p>
    <w:p w:rsidR="004B0CD7" w:rsidRDefault="001E3D2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33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Ratifica del documento sulla DAD già approvato nei collegi di sezione e criteri di valutazione per la DAD.</w:t>
      </w:r>
    </w:p>
    <w:p w:rsidR="004B0CD7" w:rsidRDefault="001E3D2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33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4. Ratifica delle decisioni prese nel collegio della scuola primaria in merito all'uso del registro elettronico e alle modalità di valutazione delle verifiche nelle classi di scuola primaria.</w:t>
      </w:r>
    </w:p>
    <w:p w:rsidR="004B0CD7" w:rsidRDefault="004B0CD7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4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B0CD7" w:rsidRDefault="001E3D2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4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Approvazione partecipazione dell'Istituto al Bando PON FES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 n. 4878 per l'acquisto di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device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per la DAD.</w:t>
      </w:r>
    </w:p>
    <w:p w:rsidR="004B0CD7" w:rsidRDefault="001E3D2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spacing w:before="64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4B0CD7" w:rsidRDefault="001E3D2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4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6. Adozione libri di testo per l'anno scolastico 2020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/2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</w:p>
    <w:p w:rsidR="004B0CD7" w:rsidRDefault="001E3D2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4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4B0CD7" w:rsidRDefault="001E3D2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4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Valutazione di fine anno; Esami di Stato - criteri per la valutazione degli elaborati degli alunni.</w:t>
      </w:r>
    </w:p>
    <w:p w:rsidR="004B0CD7" w:rsidRDefault="004B0CD7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4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B0CD7" w:rsidRDefault="001E3D2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4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8. Proposte per azioni di continuità didattico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/e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ducativa per i prossimi anni (a cura di I.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ghes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).</w:t>
      </w:r>
    </w:p>
    <w:p w:rsidR="004B0CD7" w:rsidRDefault="004B0CD7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4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B0CD7" w:rsidRDefault="001E3D2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4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9. Azioni di contrasto al bullismo e al cyber bullismo da mettere in atto nei prossimi anni (a cura di A. 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Bettiol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). </w:t>
      </w:r>
    </w:p>
    <w:p w:rsidR="004B0CD7" w:rsidRDefault="004B0CD7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4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B0CD7" w:rsidRDefault="001E3D2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98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10. Progetto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Cariverona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21: adesione delle classi per il prossimo anno.</w:t>
      </w:r>
    </w:p>
    <w:p w:rsidR="004B0CD7" w:rsidRDefault="001E3D2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98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11. Varie ed eventuali </w:t>
      </w:r>
    </w:p>
    <w:p w:rsidR="004B0CD7" w:rsidRDefault="004B0CD7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0CD7" w:rsidRDefault="001E3D25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-1)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Approvazione verbale della seduta del 21 ottobre 2019</w:t>
      </w:r>
    </w:p>
    <w:p w:rsidR="004B0CD7" w:rsidRDefault="004B0CD7">
      <w:pPr>
        <w:pStyle w:val="normal"/>
        <w:shd w:val="clear" w:color="auto" w:fill="FFFFFF"/>
        <w:spacing w:after="0" w:line="240" w:lineRule="auto"/>
        <w:rPr>
          <w:b/>
        </w:rPr>
      </w:pPr>
    </w:p>
    <w:p w:rsidR="004B0CD7" w:rsidRDefault="001E3D25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 verbale precedente viene approvato in modalità on-line tramite modulo di votazione</w:t>
      </w:r>
    </w:p>
    <w:p w:rsidR="004B0CD7" w:rsidRDefault="004B0CD7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0CD7" w:rsidRDefault="001E3D25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-2)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Progetti per il trattenimento di due alunni nelle scuole dell'infanzia di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Mur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Cadola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e Sopracroda (a cura delle fiduciarie delle due scuole)</w:t>
      </w:r>
      <w:r>
        <w:rPr>
          <w:b/>
        </w:rPr>
        <w:t xml:space="preserve"> </w:t>
      </w:r>
    </w:p>
    <w:p w:rsidR="004B0CD7" w:rsidRDefault="004B0CD7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0CD7" w:rsidRDefault="001E3D25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dirigente introduce il tema che riguarda il trattenimento alle scuole d’infanzia di Sopracroda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Cad</w:t>
      </w:r>
      <w:r>
        <w:rPr>
          <w:rFonts w:ascii="Times New Roman" w:eastAsia="Times New Roman" w:hAnsi="Times New Roman" w:cs="Times New Roman"/>
          <w:sz w:val="24"/>
          <w:szCs w:val="24"/>
        </w:rPr>
        <w:t>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due alunne con disabilità grave. Per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Cadola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illustra ai colleghi le motivazioni per valutare questa scelta la maestra Amato e per Sopracroda la maestra Boito.</w:t>
      </w:r>
    </w:p>
    <w:p w:rsidR="004B0CD7" w:rsidRDefault="001E3D25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collegio si esprimerà  in modalità on-line tramite modulo di votazione.</w:t>
      </w:r>
    </w:p>
    <w:p w:rsidR="004B0CD7" w:rsidRDefault="001E3D25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alleg</w:t>
      </w:r>
      <w:r>
        <w:rPr>
          <w:rFonts w:ascii="Times New Roman" w:eastAsia="Times New Roman" w:hAnsi="Times New Roman" w:cs="Times New Roman"/>
          <w:sz w:val="24"/>
          <w:szCs w:val="24"/>
        </w:rPr>
        <w:t>ato  le relazioni delle due Maestre sui casi valutati dal collegio.</w:t>
      </w:r>
    </w:p>
    <w:p w:rsidR="004B0CD7" w:rsidRDefault="004B0CD7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0CD7" w:rsidRDefault="001E3D2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330"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-3)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Ratifica del documento sulla DAD già approvato nei collegi di sezione e criteri di valutazione per la DAD.</w:t>
      </w:r>
    </w:p>
    <w:p w:rsidR="004B0CD7" w:rsidRDefault="004B0CD7">
      <w:pPr>
        <w:pStyle w:val="normal"/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0CD7" w:rsidRDefault="001E3D25">
      <w:pPr>
        <w:pStyle w:val="normal"/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dirigente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chiede ora la ratifica del documento sulla DAD già approvato nei collegi di sezione e dei criteri di valutazione per la DAD.</w:t>
      </w:r>
      <w:r>
        <w:rPr>
          <w:rFonts w:ascii="Georgia" w:eastAsia="Georgia" w:hAnsi="Georgia" w:cs="Georgia"/>
          <w:i/>
          <w:color w:val="38393B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 collegio docenti è chiamato ad integrare i criteri di valutazione degli apprendimenti e del comportamento degli alunni già appro</w:t>
      </w:r>
      <w:r>
        <w:rPr>
          <w:rFonts w:ascii="Times New Roman" w:eastAsia="Times New Roman" w:hAnsi="Times New Roman" w:cs="Times New Roman"/>
          <w:sz w:val="24"/>
          <w:szCs w:val="24"/>
        </w:rPr>
        <w:t>vati nel PTOF. Successivamente  ne sarà data comunicazione alle famiglie attraverso la pubblicazione sul sito, che vale come integrazione pro tempore al PTOF (O.M. sulla valutazione)..</w:t>
      </w:r>
      <w:r>
        <w:rPr>
          <w:rFonts w:ascii="Georgia" w:eastAsia="Georgia" w:hAnsi="Georgia" w:cs="Georgia"/>
          <w:i/>
          <w:color w:val="38393B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descrittori dei voti restano invariati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Nei periodi di didattica a distanza il giudizio complessivo viene integrato con i seguenti criteri: </w:t>
      </w:r>
    </w:p>
    <w:p w:rsidR="004B0CD7" w:rsidRDefault="001E3D25">
      <w:pPr>
        <w:pStyle w:val="normal"/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Scuola primaria</w:t>
      </w:r>
    </w:p>
    <w:p w:rsidR="004B0CD7" w:rsidRDefault="001E3D25">
      <w:pPr>
        <w:pStyle w:val="normal"/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puntualità nella consegna dei lavori assegnati (costante, saltuaria oppure scarsa)</w:t>
      </w:r>
    </w:p>
    <w:p w:rsidR="004B0CD7" w:rsidRDefault="001E3D25">
      <w:pPr>
        <w:pStyle w:val="normal"/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progressi registrati nello sviluppo degli apprendim</w:t>
      </w:r>
      <w:r>
        <w:rPr>
          <w:rFonts w:ascii="Times New Roman" w:eastAsia="Times New Roman" w:hAnsi="Times New Roman" w:cs="Times New Roman"/>
          <w:sz w:val="24"/>
          <w:szCs w:val="24"/>
        </w:rPr>
        <w:t>enti (apprezzabili, discreti o scarsi)</w:t>
      </w:r>
    </w:p>
    <w:p w:rsidR="004B0CD7" w:rsidRDefault="001E3D25">
      <w:pPr>
        <w:pStyle w:val="normal"/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Scuola secondaria di primo grado </w:t>
      </w:r>
    </w:p>
    <w:p w:rsidR="004B0CD7" w:rsidRDefault="001E3D25">
      <w:pPr>
        <w:pStyle w:val="normal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puntualità nella consegna dei lavori , </w:t>
      </w:r>
    </w:p>
    <w:p w:rsidR="004B0CD7" w:rsidRDefault="001E3D25">
      <w:pPr>
        <w:pStyle w:val="normal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partecipazione alle attività </w:t>
      </w:r>
    </w:p>
    <w:p w:rsidR="004B0CD7" w:rsidRDefault="001E3D25">
      <w:pPr>
        <w:pStyle w:val="normal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valutazioni riportate </w:t>
      </w:r>
    </w:p>
    <w:p w:rsidR="004B0CD7" w:rsidRDefault="001E3D25">
      <w:pPr>
        <w:pStyle w:val="normal"/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.Il giudizio di comportamento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viene formulato in base agli indicatori già presenti nel PTO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F, che possono essere usati anche solo parzialmente, ove mancassero elementi di valutazione. </w:t>
      </w:r>
    </w:p>
    <w:p w:rsidR="004B0CD7" w:rsidRDefault="001E3D25">
      <w:pPr>
        <w:pStyle w:val="normal"/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collegio si esprimerà  in modalità on-line tramite modulo di votazione. Si allega il documento che è stato votato che regolamenta la DAD e il documento inerent</w:t>
      </w:r>
      <w:r>
        <w:rPr>
          <w:rFonts w:ascii="Times New Roman" w:eastAsia="Times New Roman" w:hAnsi="Times New Roman" w:cs="Times New Roman"/>
          <w:sz w:val="24"/>
          <w:szCs w:val="24"/>
        </w:rPr>
        <w:t>e alla valutazione per PTOF</w:t>
      </w:r>
    </w:p>
    <w:p w:rsidR="004B0CD7" w:rsidRDefault="001E3D2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330"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- 4)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Ratifica delle decisioni prese nel collegio della scuola primaria in merito all'uso del registro elettronico e alle modalità di valutazione delle verifiche nelle classi di scuola primaria.</w:t>
      </w:r>
    </w:p>
    <w:p w:rsidR="004B0CD7" w:rsidRDefault="004B0CD7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33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B0CD7" w:rsidRDefault="001E3D2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33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dirigente introduce il quarto punto che richiede la ratifica delle decisioni prese nel collegio della scuola primaria in merito all'uso del registro elettronico e alle modalità di valutazione delle verifiche nelle classi di scuola primaria.</w:t>
      </w:r>
    </w:p>
    <w:p w:rsidR="004B0CD7" w:rsidRDefault="001E3D25">
      <w:pPr>
        <w:pStyle w:val="normal"/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Spiega che i</w:t>
      </w:r>
      <w:r>
        <w:rPr>
          <w:rFonts w:ascii="Times New Roman" w:eastAsia="Times New Roman" w:hAnsi="Times New Roman" w:cs="Times New Roman"/>
          <w:sz w:val="24"/>
          <w:szCs w:val="24"/>
        </w:rPr>
        <w:t>l registro elettronico verrà aperto ai genitori solo per la parte degli argomenti delle lezioni. Le verifiche dalla cl. 1^ alla 4^ verranno valutate con simboli (solo in prima), giudizi, n.° di risposte esatte .I voti vengono utilizzati sulle verifiche sol</w:t>
      </w:r>
      <w:r>
        <w:rPr>
          <w:rFonts w:ascii="Times New Roman" w:eastAsia="Times New Roman" w:hAnsi="Times New Roman" w:cs="Times New Roman"/>
          <w:sz w:val="24"/>
          <w:szCs w:val="24"/>
        </w:rPr>
        <w:t>o in cl. 5^ .Gli esiti delle verifiche vengono comunicati alle famiglie almeno ogni 2 mesi. In prima possono essere adottate scadenze diverse. Il collegio si esprimerà  in modalità on-line tramite modulo di votazione.</w:t>
      </w:r>
    </w:p>
    <w:p w:rsidR="004B0CD7" w:rsidRDefault="001E3D2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4"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-5)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Approvazione partecipazione dell'Istituto al Bando PON FESR n. 4878 per l'acquisto di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device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per la DAD.</w:t>
      </w:r>
    </w:p>
    <w:p w:rsidR="004B0CD7" w:rsidRDefault="004B0CD7">
      <w:pPr>
        <w:pStyle w:val="normal"/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0CD7" w:rsidRDefault="001E3D25">
      <w:pPr>
        <w:pStyle w:val="normal"/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dirigente chiede ora la delibera del collegio all’approvazione  dell'Istituto al Bando PON FESR n. 4878 per l'acquisto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device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per la DAD. Si tr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atta dell’acquisto di attrezzature per la didattica a distanza PC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chromebook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Tablet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convertibili con tavoletta grafica - Armadio per ricaricarli - 2 web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 La preside informa che abbiamo acquistato altri 14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chromebook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fondi del Ministero. . Il col</w:t>
      </w:r>
      <w:r>
        <w:rPr>
          <w:rFonts w:ascii="Times New Roman" w:eastAsia="Times New Roman" w:hAnsi="Times New Roman" w:cs="Times New Roman"/>
          <w:sz w:val="24"/>
          <w:szCs w:val="24"/>
        </w:rPr>
        <w:t>legio si esprimerà  in modalità on-line tramite modulo di votazione.</w:t>
      </w:r>
    </w:p>
    <w:p w:rsidR="004B0CD7" w:rsidRDefault="001E3D2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4"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-6)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Adozione libri di testo per l'anno scolastico 2020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/2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1.</w:t>
      </w:r>
    </w:p>
    <w:p w:rsidR="004B0CD7" w:rsidRDefault="004B0CD7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4"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4B0CD7" w:rsidRDefault="001E3D25">
      <w:pPr>
        <w:pStyle w:val="normal"/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La preside introduce il tema circa l’adozione dei libri di testo che per l'anno scolastico 2020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/2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</w:p>
    <w:p w:rsidR="004B0CD7" w:rsidRDefault="001E3D25">
      <w:pPr>
        <w:pStyle w:val="normal"/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Vengono riconfermate le adozioni già in uso, con le seguenti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aeccezioni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B0CD7" w:rsidRDefault="001E3D25">
      <w:pPr>
        <w:pStyle w:val="normal"/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alunni con disabilità (soprattutto sc. secondaria), potranno non essere adottati i testi della classe. La decisione sarà presa per ogni alunno a seconda degli obiettivi presenti ne</w:t>
      </w:r>
      <w:r>
        <w:rPr>
          <w:rFonts w:ascii="Times New Roman" w:eastAsia="Times New Roman" w:hAnsi="Times New Roman" w:cs="Times New Roman"/>
          <w:sz w:val="24"/>
          <w:szCs w:val="24"/>
        </w:rPr>
        <w:t>l PEI.</w:t>
      </w:r>
    </w:p>
    <w:p w:rsidR="004B0CD7" w:rsidRDefault="001E3D25">
      <w:pPr>
        <w:pStyle w:val="normal"/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sussidiario dei linguaggi (“Il giardino dei racconti”) classe 4^ Quartier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Cadore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(l’anno scorso non era stato adottato) </w:t>
      </w:r>
    </w:p>
    <w:p w:rsidR="004B0CD7" w:rsidRDefault="001E3D25">
      <w:pPr>
        <w:pStyle w:val="normal"/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libri di narrativa / eserciziari per la cl. 5^ Quartier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Cadore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4B0CD7" w:rsidRDefault="001E3D25">
      <w:pPr>
        <w:pStyle w:val="normal"/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Prof.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avverte che non è sua intenzione cambiare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 testo ma solo il codice del libro di scienze, in quanto il testo “rinnovato” contiene un ’allegato in più inerente alle prove INVALSI. </w:t>
      </w:r>
    </w:p>
    <w:p w:rsidR="004B0CD7" w:rsidRDefault="001E3D2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4"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7)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Valutazione di fine anno; Esami di Stato - criteri per la valutazione degli elaborati degli alunni.</w:t>
      </w:r>
    </w:p>
    <w:p w:rsidR="004B0CD7" w:rsidRDefault="004B0CD7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4"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4B0CD7" w:rsidRDefault="001E3D25">
      <w:pPr>
        <w:pStyle w:val="normal"/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 dirigente introduce il punto circa la valutazione di fine anno, e gli esami di Stato. L’O. M. sulla valutazione prevede la non ammissione solo in casi eccezionali dovuti ad assenze reiterate anche nel 1° quadrimestre.</w:t>
      </w:r>
    </w:p>
    <w:p w:rsidR="004B0CD7" w:rsidRDefault="001E3D25">
      <w:pPr>
        <w:pStyle w:val="normal"/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caso di insufficienze andrà cons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egnata alla famiglia un Piano di Apprendimento Individualizzato (PAI) dove saranno evidenziate le lacune che dovranno essere colmate. </w:t>
      </w:r>
    </w:p>
    <w:p w:rsidR="004B0CD7" w:rsidRDefault="001E3D25">
      <w:pPr>
        <w:pStyle w:val="normal"/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Andrà dunque preparata una scheda per gli alunni ammessi con carenze / insufficienze </w:t>
      </w:r>
    </w:p>
    <w:p w:rsidR="004B0CD7" w:rsidRDefault="001E3D25">
      <w:pPr>
        <w:pStyle w:val="normal"/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Andrà formulato anche un piano di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ntegrazione degli apprendimenti fatto dal team / consiglio di classe, con le attività (parti di programma) non svolte. </w:t>
      </w:r>
    </w:p>
    <w:p w:rsidR="004B0CD7" w:rsidRDefault="001E3D25">
      <w:pPr>
        <w:pStyle w:val="normal"/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Dal 1° settembre saranno organizzati i rientri per i recuperi degli alunni. </w:t>
      </w:r>
    </w:p>
    <w:p w:rsidR="004B0CD7" w:rsidRDefault="001E3D25">
      <w:pPr>
        <w:pStyle w:val="normal"/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 compilata come ogni anno la certificazione competenze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5^ primaria e 3^ secondaria.</w:t>
      </w:r>
    </w:p>
    <w:p w:rsidR="004B0CD7" w:rsidRDefault="001E3D25">
      <w:pPr>
        <w:pStyle w:val="normal"/>
        <w:shd w:val="clear" w:color="auto" w:fill="FFFFFF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Circa l’esame di Stato saranno valutati :</w:t>
      </w:r>
    </w:p>
    <w:p w:rsidR="004B0CD7" w:rsidRDefault="001E3D25">
      <w:pPr>
        <w:pStyle w:val="normal"/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L’elaborato predisposto dall’alunno </w:t>
      </w:r>
    </w:p>
    <w:p w:rsidR="004B0CD7" w:rsidRDefault="001E3D25">
      <w:pPr>
        <w:pStyle w:val="normal"/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Valutazione di quest’anno nelle diverse discipline</w:t>
      </w:r>
    </w:p>
    <w:p w:rsidR="004B0CD7" w:rsidRDefault="001E3D25">
      <w:pPr>
        <w:pStyle w:val="normal"/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valutazione del percorso triennale</w:t>
      </w:r>
    </w:p>
    <w:p w:rsidR="004B0CD7" w:rsidRDefault="001E3D25">
      <w:pPr>
        <w:pStyle w:val="normal"/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Per la valutazione elaborato è stata messa a punto una griglia con i seguenti indicatori: </w:t>
      </w:r>
    </w:p>
    <w:p w:rsidR="004B0CD7" w:rsidRDefault="001E3D25">
      <w:pPr>
        <w:pStyle w:val="normal"/>
        <w:shd w:val="clear" w:color="auto" w:fill="FFFFFF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- originalità dei contenuti </w:t>
      </w:r>
    </w:p>
    <w:p w:rsidR="004B0CD7" w:rsidRDefault="001E3D25">
      <w:pPr>
        <w:pStyle w:val="normal"/>
        <w:shd w:val="clear" w:color="auto" w:fill="FFFFFF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- coerenza con l’argomento assegnato </w:t>
      </w:r>
    </w:p>
    <w:p w:rsidR="004B0CD7" w:rsidRDefault="001E3D25">
      <w:pPr>
        <w:pStyle w:val="normal"/>
        <w:shd w:val="clear" w:color="auto" w:fill="FFFFFF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- chiarezza espositiva e argomentativa </w:t>
      </w:r>
    </w:p>
    <w:p w:rsidR="004B0CD7" w:rsidRDefault="001E3D25">
      <w:pPr>
        <w:pStyle w:val="normal"/>
        <w:shd w:val="clear" w:color="auto" w:fill="FFFFFF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-  cura nella realizzazione del prodotto </w:t>
      </w:r>
    </w:p>
    <w:p w:rsidR="004B0CD7" w:rsidRDefault="001E3D25">
      <w:pPr>
        <w:pStyle w:val="normal"/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prof. Fava domanda come agisce  la media degli anni passati sulla media generale. La preside risponde che si è sempre utilizzata la media dei tre anni di frequenza. </w:t>
      </w:r>
    </w:p>
    <w:p w:rsidR="004B0CD7" w:rsidRDefault="001E3D25">
      <w:pPr>
        <w:pStyle w:val="normal"/>
        <w:shd w:val="clear" w:color="auto" w:fill="FFFFFF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 allega la griglia di valutazione per l’esame.(5)</w:t>
      </w:r>
    </w:p>
    <w:p w:rsidR="004B0CD7" w:rsidRDefault="001E3D2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4"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-8)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Proposte per azioni di continuità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didattico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/e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ducativa per i prossimi anni (a cura di I.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ghes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).</w:t>
      </w:r>
    </w:p>
    <w:p w:rsidR="004B0CD7" w:rsidRDefault="004B0CD7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4"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4B0CD7" w:rsidRDefault="001E3D2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4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preside introduce la maestra I.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ghes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che illustra le proposte per azioni di continuità didattico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ducativa per i prossimi anni. </w:t>
      </w:r>
    </w:p>
    <w:p w:rsidR="004B0CD7" w:rsidRDefault="001E3D2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 tratta di tutte quelle attività pensate per organizzare l’attività scolastica dando continuità tra i vari ordini di scuola sviluppando eventi utili a promuovere l’accoglienza e la conoscenza delle famiglie delle attività formative possibili. </w:t>
      </w:r>
    </w:p>
    <w:p w:rsidR="004B0CD7" w:rsidRDefault="001E3D2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Alla fine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della relazione interviene il prof.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il quale mette in risalto il fatto che non sapremo cosa succederà da qui a settembre e quindi ritiene un azzardo proporre ora queste attività. La preside risponde che le proposte vanno comunque votate. Nel caso ci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iano altre disposizioni che le rendono inattuabili si farà altro. La prof.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Radmila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Visentin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sottolinea che per gli incontri di continuità non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saranno più previsti interventi al mattino per gli alunni del musicale ma ci saranno incontri destinati ai genitor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per far capire come si lavora in questo particolare corso.</w:t>
      </w:r>
    </w:p>
    <w:p w:rsidR="004B0CD7" w:rsidRDefault="001E3D2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dicembre gli insegnanti del musicale hanno anche pensato ad un evento che possa essere d’aiuto nella promozione del corso.</w:t>
      </w:r>
    </w:p>
    <w:p w:rsidR="004B0CD7" w:rsidRDefault="001E3D2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Prof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Menegaz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chiede di poter organizzare con un certo anticipo  tu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tte queste attività , comprese quelle inerenti al Tedesco per poterle pianificare al meglio. Il documento presentata dalla maestra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Righes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è stato dunque revisionato con diverse integrazioni e il testo allegato in coda al verbale è comprensivo di questi cam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biamenti frutto del confronto nel post-collegio dei docenti interessati .</w:t>
      </w:r>
    </w:p>
    <w:p w:rsidR="004B0CD7" w:rsidRDefault="001E3D25">
      <w:pPr>
        <w:pStyle w:val="normal"/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gradimento di queste proposte viene votato in modalità on-line tramite modulo di votazione.</w:t>
      </w:r>
    </w:p>
    <w:p w:rsidR="004B0CD7" w:rsidRDefault="001E3D2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4"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-9)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Azioni di contrasto al bullismo e al cyber bullismo</w:t>
      </w:r>
    </w:p>
    <w:p w:rsidR="004B0CD7" w:rsidRDefault="004B0CD7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4"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4B0CD7" w:rsidRDefault="001E3D2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4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Il successivo punto richiede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l’approvazione del collegio circa le possibili azioni di contrasto al bullismo e al cyber bullismo da mettere in atto nei prossimi anni .</w:t>
      </w:r>
    </w:p>
    <w:p w:rsidR="004B0CD7" w:rsidRDefault="001E3D2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4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relazione a beneficio dei docenti è a cura di A.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Bettiol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che viene allegata in coda al verbale.</w:t>
      </w:r>
    </w:p>
    <w:p w:rsidR="004B0CD7" w:rsidRDefault="001E3D2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La prof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Bettiol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sottolinea come non sia stato possibile portare a termine tutte le proposte a causa della pandemia. Le attività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inattuate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saranno riproposte appena si verificheranno le condizioni.</w:t>
      </w:r>
    </w:p>
    <w:p w:rsidR="004B0CD7" w:rsidRDefault="001E3D2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L’approvazione di dette proposte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viene votata in modalità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n-line tramite modulo di votazione.</w:t>
      </w:r>
    </w:p>
    <w:p w:rsidR="004B0CD7" w:rsidRDefault="001E3D2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98"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10) Progetto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Cariverona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20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0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/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21: adesione delle classi per il prossimo anno.</w:t>
      </w:r>
    </w:p>
    <w:p w:rsidR="004B0CD7" w:rsidRDefault="004B0CD7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98"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4B0CD7" w:rsidRDefault="001E3D2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98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Quest’anno hanno partecipato delle classi che proseguiranno il progetto: la cl. 3^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Cavarzano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di Q.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Cadore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le cl. 1^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1^B della sc.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econdaria.</w:t>
      </w:r>
    </w:p>
    <w:p w:rsidR="004B0CD7" w:rsidRDefault="004B0CD7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9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0CD7" w:rsidRDefault="001E3D2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98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prossimo anno aderiranno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nuove cl. 1^A e 1^ D Nievo e le classi 3^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Fiammoi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Q.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Cadore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4B0CD7" w:rsidRDefault="001E3D2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9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futuro possono partecipare anche altre classi. </w:t>
      </w:r>
    </w:p>
    <w:p w:rsidR="004B0CD7" w:rsidRDefault="001E3D2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98"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-11) Varie ed eventuali </w:t>
      </w:r>
    </w:p>
    <w:p w:rsidR="004B0CD7" w:rsidRDefault="001E3D2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preside invita tutti i docenti ad entrare a vedere la piattaforma MLOL . Si tratta di una  biblioteca digitale con riviste , e-book e molto altro.</w:t>
      </w:r>
    </w:p>
    <w:p w:rsidR="004B0CD7" w:rsidRDefault="001E3D2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 prosegue ricordando gli adempimenti di fine anno (consegna documenti, materiali nelle classi, incontri continuità, progettazioni rimodulate...). I documenti di valutazione saranno scaricabili dal registro elettronico alla secondaria mentre saranno conse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gnati in presenza alla primaria. </w:t>
      </w:r>
    </w:p>
    <w:p w:rsidR="004B0CD7" w:rsidRDefault="001E3D2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dirigente ricorda che per quel che riguarda la valorizzazione del merito ai docenti quest’ultima è estesa anche ai supplenti annuali e invita gli insegnanti a compilare il questionario già inviato , utile a segnalare 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colleghi meritevoli. </w:t>
      </w:r>
    </w:p>
    <w:p w:rsidR="004B0CD7" w:rsidRDefault="001E3D2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dirigente </w:t>
      </w:r>
      <w:r>
        <w:rPr>
          <w:rFonts w:ascii="Times New Roman" w:eastAsia="Times New Roman" w:hAnsi="Times New Roman" w:cs="Times New Roman"/>
          <w:sz w:val="24"/>
          <w:szCs w:val="24"/>
        </w:rPr>
        <w:t>invita a presentare 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proposte per la formazione che saranno da  approvare a giugno, inoltre richiede a tutti i docenti la massima collaborazione con i coordinatori di classe / referenti di plesso che dato il grande cari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 di lavoro vanno agevolati in ogni modo.</w:t>
      </w:r>
    </w:p>
    <w:p w:rsidR="004B0CD7" w:rsidRDefault="001E3D2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dirigente avverte che è ora possibile recarsi a scuola per recuperare materiale o svolgere attività inerenti ad obblighi di segreteria ma si raccomanda caldamente con tutti i docenti circa  l’osservanza delle 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egole di distanziamento sociale e l</w:t>
      </w:r>
      <w:r>
        <w:rPr>
          <w:rFonts w:ascii="Times New Roman" w:eastAsia="Times New Roman" w:hAnsi="Times New Roman" w:cs="Times New Roman"/>
          <w:sz w:val="24"/>
          <w:szCs w:val="24"/>
        </w:rPr>
        <w:t>’uso dei DPI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0CD7" w:rsidRDefault="001E3D25">
      <w:pPr>
        <w:pStyle w:val="normal"/>
        <w:jc w:val="center"/>
      </w:pPr>
      <w:r>
        <w:lastRenderedPageBreak/>
        <w:t xml:space="preserve">                                                                                                         IL SEGRETARIO</w:t>
      </w:r>
    </w:p>
    <w:p w:rsidR="004B0CD7" w:rsidRDefault="001E3D25">
      <w:pPr>
        <w:pStyle w:val="normal"/>
        <w:jc w:val="center"/>
      </w:pPr>
      <w:r>
        <w:t xml:space="preserve">                                                                                        </w:t>
      </w:r>
      <w:r>
        <w:t xml:space="preserve">                   ROBERTO RASCHI</w:t>
      </w:r>
    </w:p>
    <w:p w:rsidR="004B0CD7" w:rsidRDefault="004B0CD7">
      <w:pPr>
        <w:pStyle w:val="normal"/>
      </w:pPr>
    </w:p>
    <w:sectPr w:rsidR="004B0CD7" w:rsidSect="004B0CD7">
      <w:pgSz w:w="11906" w:h="16838"/>
      <w:pgMar w:top="1134" w:right="1134" w:bottom="1417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31283"/>
    <w:multiLevelType w:val="multilevel"/>
    <w:tmpl w:val="4F40A030"/>
    <w:lvl w:ilvl="0">
      <w:start w:val="1"/>
      <w:numFmt w:val="bullet"/>
      <w:lvlText w:val="•"/>
      <w:lvlJc w:val="left"/>
      <w:pPr>
        <w:ind w:left="720" w:hanging="360"/>
      </w:pPr>
      <w:rPr>
        <w:rFonts w:ascii="Georgia" w:eastAsia="Georgia" w:hAnsi="Georgia" w:cs="Georgi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Georgia" w:eastAsia="Georgia" w:hAnsi="Georgia" w:cs="Georgi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Georgia" w:eastAsia="Georgia" w:hAnsi="Georgia" w:cs="Georgi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Georgia" w:eastAsia="Georgia" w:hAnsi="Georgia" w:cs="Georgi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Georgia" w:eastAsia="Georgia" w:hAnsi="Georgia" w:cs="Georgi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Georgia" w:eastAsia="Georgia" w:hAnsi="Georgia" w:cs="Georgi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Georgia" w:eastAsia="Georgia" w:hAnsi="Georgia" w:cs="Georgi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Georgia" w:eastAsia="Georgia" w:hAnsi="Georgia" w:cs="Georgi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Georgia" w:eastAsia="Georgia" w:hAnsi="Georgia" w:cs="Georgia"/>
      </w:rPr>
    </w:lvl>
  </w:abstractNum>
  <w:abstractNum w:abstractNumId="1">
    <w:nsid w:val="6241168B"/>
    <w:multiLevelType w:val="multilevel"/>
    <w:tmpl w:val="07AEE5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characterSpacingControl w:val="doNotCompress"/>
  <w:compat/>
  <w:rsids>
    <w:rsidRoot w:val="004B0CD7"/>
    <w:rsid w:val="001E3D25"/>
    <w:rsid w:val="004B0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4B0CD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4B0C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4B0C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4B0CD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4B0CD7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4B0CD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4B0CD7"/>
  </w:style>
  <w:style w:type="table" w:customStyle="1" w:styleId="TableNormal">
    <w:name w:val="Table Normal"/>
    <w:rsid w:val="004B0C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4B0CD7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4B0C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B0CD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3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3D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lic831003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tinamerlin.gov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1811</Words>
  <Characters>10325</Characters>
  <Application>Microsoft Office Word</Application>
  <DocSecurity>0</DocSecurity>
  <Lines>86</Lines>
  <Paragraphs>24</Paragraphs>
  <ScaleCrop>false</ScaleCrop>
  <Company/>
  <LinksUpToDate>false</LinksUpToDate>
  <CharactersWithSpaces>12112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Codogno</dc:creator>
  <cp:lastModifiedBy>bcodogno</cp:lastModifiedBy>
  <cp:revision>2</cp:revision>
  <dcterms:created xsi:type="dcterms:W3CDTF">2020-06-05T09:30:00Z</dcterms:created>
  <dcterms:modified xsi:type="dcterms:W3CDTF">2020-06-05T09:30:00Z</dcterms:modified>
</cp:coreProperties>
</file>