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jc w:val="center"/>
        <w:rPr>
          <w:color w:val="548DD4"/>
          <w:sz w:val="28"/>
          <w:szCs w:val="28"/>
        </w:rPr>
      </w:pPr>
      <w:bookmarkStart w:id="0" w:name="_GoBack"/>
      <w:bookmarkEnd w:id="0"/>
      <w:r>
        <w:rPr>
          <w:b/>
          <w:color w:val="548DD4"/>
          <w:sz w:val="32"/>
          <w:szCs w:val="32"/>
        </w:rPr>
        <w:t>LA VALUTAZIONE DEGLI APPRENDIMENTI DEGLI ALUNNI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jc w:val="center"/>
        <w:rPr>
          <w:color w:val="548DD4"/>
          <w:sz w:val="28"/>
          <w:szCs w:val="28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valutazione degli apprendimenti nelle scuole del primo ciclo di istruzione (primaria e secondaria di 1° grado) ha un valore formativo, cioè si basa sui progressi fatti, sulle potenzialità espresse e sul grado di raggiungimento degli obiettivi di ogni al</w:t>
      </w:r>
      <w:r>
        <w:rPr>
          <w:color w:val="000000"/>
          <w:sz w:val="24"/>
          <w:szCs w:val="24"/>
        </w:rPr>
        <w:t xml:space="preserve">unno nel proprio percorso di sviluppo e non è il risultato esclusivamente di medie statistiche.  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voti e i giudizi che gli insegnanti esprimono sui lavori prodotti dagli alunni sono sempre motivati ai ragazzi e ai bambini; essi hanno lo scopo di miglior</w:t>
      </w:r>
      <w:r>
        <w:rPr>
          <w:color w:val="000000"/>
          <w:sz w:val="24"/>
          <w:szCs w:val="24"/>
        </w:rPr>
        <w:t xml:space="preserve">are i loro livelli di apprendimento mettendo in luce i punti di forza e di debolezza di ciascuno. 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valutazione periodica in decimi, prevista dalla legge, viene effettuata alla fine del primo quadrimestre e al termine dell’anno scolastico. 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48DD4"/>
          <w:sz w:val="32"/>
          <w:szCs w:val="32"/>
        </w:rPr>
      </w:pPr>
      <w:r>
        <w:rPr>
          <w:color w:val="000000"/>
          <w:sz w:val="24"/>
          <w:szCs w:val="24"/>
        </w:rPr>
        <w:t>Nel primo an</w:t>
      </w:r>
      <w:r>
        <w:rPr>
          <w:color w:val="000000"/>
          <w:sz w:val="24"/>
          <w:szCs w:val="24"/>
        </w:rPr>
        <w:t xml:space="preserve">no di scuola primaria essa viene effettuata solo a conclusione dell’anno scolastico, per consentire un periodo più lungo di osservazione delle competenze sviluppate nei bambini dal loro ingresso a scuola e permettere agli alunni di acquisire fiducia nelle </w:t>
      </w:r>
      <w:r>
        <w:rPr>
          <w:color w:val="000000"/>
          <w:sz w:val="24"/>
          <w:szCs w:val="24"/>
        </w:rPr>
        <w:t>proprie capacità nel rispetto dei loro tempi e ritmi di apprendimento.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32"/>
          <w:szCs w:val="32"/>
        </w:rPr>
        <w:t>***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/>
        <w:jc w:val="center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termine del primo periodo di scuola in classe prima della scuola primaria viene comunque fornita nel documento di valutazione una descrizione delle competenze acquisite formulat</w:t>
      </w:r>
      <w:r>
        <w:rPr>
          <w:color w:val="000000"/>
          <w:sz w:val="24"/>
          <w:szCs w:val="24"/>
        </w:rPr>
        <w:t>a secondo i seguenti criteri:</w:t>
      </w:r>
    </w:p>
    <w:tbl>
      <w:tblPr>
        <w:tblStyle w:val="a"/>
        <w:tblW w:w="9828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1939"/>
        <w:gridCol w:w="7889"/>
      </w:tblGrid>
      <w:tr w:rsidR="00C73CB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ITALIANO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NUCLEI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DESCRITTORI 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Ascoltare e parlare</w:t>
            </w: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Ascolta, comprende, interagisce in modo:</w:t>
            </w:r>
          </w:p>
          <w:p w:rsidR="00C73CB1" w:rsidRDefault="005F65B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prolungato, pronto, corretto e pertinente </w:t>
            </w:r>
          </w:p>
          <w:p w:rsidR="00C73CB1" w:rsidRDefault="005F65B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adeguato, pertinente e corretto </w:t>
            </w:r>
          </w:p>
          <w:p w:rsidR="00C73CB1" w:rsidRDefault="005F65B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passivo e per tempi brevi, essenziale, poco corretto e non sempre pertinente</w:t>
            </w:r>
          </w:p>
          <w:p w:rsidR="00C73CB1" w:rsidRDefault="005F65B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passivo e per tempi molto brevi, non adeguato.</w:t>
            </w: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Scrittura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Scrive sotto dettatura e/o autonomamente in modo: </w:t>
            </w:r>
          </w:p>
          <w:p w:rsidR="00C73CB1" w:rsidRDefault="005F65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molto corretto e chiaro </w:t>
            </w:r>
          </w:p>
          <w:p w:rsidR="00C73CB1" w:rsidRDefault="005F65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corretto </w:t>
            </w:r>
          </w:p>
          <w:p w:rsidR="00C73CB1" w:rsidRDefault="005F65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poco corretto, poco organizzato </w:t>
            </w:r>
          </w:p>
          <w:p w:rsidR="00C73CB1" w:rsidRDefault="005F65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scorretto e disorganico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Leggere e comprendere</w:t>
            </w: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Legge in modo: </w:t>
            </w:r>
          </w:p>
          <w:p w:rsidR="00C73CB1" w:rsidRDefault="005F65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corretto, scorrevole ed espressivo </w:t>
            </w:r>
          </w:p>
          <w:p w:rsidR="00C73CB1" w:rsidRDefault="005F65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corretto </w:t>
            </w:r>
          </w:p>
          <w:p w:rsidR="00C73CB1" w:rsidRDefault="005F65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meccanico</w:t>
            </w:r>
          </w:p>
          <w:p w:rsidR="00C73CB1" w:rsidRDefault="005F65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stentato</w:t>
            </w:r>
          </w:p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Comprende in modo:</w:t>
            </w:r>
          </w:p>
          <w:p w:rsidR="00C73CB1" w:rsidRDefault="005F6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completo e immediato </w:t>
            </w:r>
          </w:p>
          <w:p w:rsidR="00C73CB1" w:rsidRDefault="005F6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globale </w:t>
            </w:r>
          </w:p>
          <w:p w:rsidR="00C73CB1" w:rsidRDefault="005F6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essenziale </w:t>
            </w:r>
          </w:p>
          <w:p w:rsidR="00C73CB1" w:rsidRDefault="005F6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parziale e frammentario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Acquisizione ed espansione del lessico ricettivo e produttivo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Utilizza le parole apprese in modo: </w:t>
            </w:r>
          </w:p>
          <w:p w:rsidR="00C73CB1" w:rsidRDefault="005F65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consapevole ed appropriato </w:t>
            </w:r>
          </w:p>
          <w:p w:rsidR="00C73CB1" w:rsidRDefault="005F65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adeguato </w:t>
            </w:r>
          </w:p>
          <w:p w:rsidR="00C73CB1" w:rsidRDefault="005F65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poco corretto </w:t>
            </w:r>
          </w:p>
          <w:p w:rsidR="00C73CB1" w:rsidRDefault="005F65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inappropriato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Elementi di grammatica esplicita e riflessione sugli usi della lingua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Utilizza le regole ortografiche e morfologiche</w:t>
            </w:r>
            <w:r>
              <w:rPr>
                <w:color w:val="000000"/>
                <w:sz w:val="24"/>
                <w:szCs w:val="24"/>
              </w:rPr>
              <w:t xml:space="preserve"> in modo:</w:t>
            </w:r>
          </w:p>
          <w:p w:rsidR="00C73CB1" w:rsidRDefault="005F65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adeguato, corretto e sicuro</w:t>
            </w:r>
          </w:p>
          <w:p w:rsidR="00C73CB1" w:rsidRDefault="005F65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Sicuro, abbastanza corretto </w:t>
            </w:r>
          </w:p>
          <w:p w:rsidR="00C73CB1" w:rsidRDefault="005F65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poco corretto </w:t>
            </w:r>
          </w:p>
          <w:p w:rsidR="00C73CB1" w:rsidRDefault="005F65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corretto e insicuro</w:t>
            </w:r>
          </w:p>
        </w:tc>
      </w:tr>
      <w:tr w:rsidR="00C73CB1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MATEMATICA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NUCLEI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DESCRITTORI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Numeri</w:t>
            </w: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Conta/calcola in modo:</w:t>
            </w:r>
          </w:p>
          <w:p w:rsidR="00C73CB1" w:rsidRDefault="005F65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sicuro e corretto</w:t>
            </w:r>
          </w:p>
          <w:p w:rsidR="00C73CB1" w:rsidRDefault="005F65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corretto</w:t>
            </w:r>
          </w:p>
          <w:p w:rsidR="00C73CB1" w:rsidRDefault="005F65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adeguato</w:t>
            </w:r>
          </w:p>
          <w:p w:rsidR="00C73CB1" w:rsidRDefault="005F65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inadeguato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Relazioni, misure, dati e previsioni</w:t>
            </w: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Raccoglie e rappresenta dati / individua e applica relazioni e procedure in modo:</w:t>
            </w:r>
          </w:p>
          <w:p w:rsidR="00C73CB1" w:rsidRDefault="005F65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autonomo e corretto.</w:t>
            </w:r>
          </w:p>
          <w:p w:rsidR="00C73CB1" w:rsidRDefault="005F65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corretto.</w:t>
            </w:r>
          </w:p>
          <w:p w:rsidR="00C73CB1" w:rsidRDefault="005F65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essenziale.</w:t>
            </w:r>
          </w:p>
          <w:p w:rsidR="00C73CB1" w:rsidRDefault="005F65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inadeguato.</w:t>
            </w:r>
          </w:p>
        </w:tc>
      </w:tr>
      <w:tr w:rsidR="00C73CB1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Spazio e figure</w:t>
            </w: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 orienta nello spazio/ conosce, comprende e utilizza i contenuti:</w:t>
            </w:r>
          </w:p>
          <w:p w:rsidR="00C73CB1" w:rsidRDefault="005F65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maniera autonoma. </w:t>
            </w:r>
          </w:p>
          <w:p w:rsidR="00C73CB1" w:rsidRDefault="005F65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modo corretto.</w:t>
            </w:r>
          </w:p>
          <w:p w:rsidR="00C73CB1" w:rsidRDefault="005F65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qualche incertezza.</w:t>
            </w:r>
          </w:p>
          <w:p w:rsidR="00C73CB1" w:rsidRDefault="005F6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oppure</w:t>
            </w:r>
          </w:p>
          <w:p w:rsidR="00C73CB1" w:rsidRDefault="005F65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orienta nello spazio/conosce i contenuti e li utilizza in modo inadeguato.</w:t>
            </w:r>
          </w:p>
        </w:tc>
      </w:tr>
    </w:tbl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32"/>
          <w:szCs w:val="32"/>
        </w:rPr>
        <w:t>***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della Legge n. 169/2008 e del Decreto Legislativo 62/17 la valutazione periodica e finale degli apprendimenti degli alunni in tutte le altre classi di scuola primaria e secondaria, viene espressa con votazioni in decimi, che indicano differenti li</w:t>
      </w:r>
      <w:r>
        <w:rPr>
          <w:color w:val="000000"/>
          <w:sz w:val="24"/>
          <w:szCs w:val="24"/>
        </w:rPr>
        <w:t>velli di apprendimento, in base alla classe di appartenenza, secondo i seguenti descrittori: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Voto di profitto 10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pienamente raggiunto tutti gli obiettivi;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Evidenzia una preparazione approfondita e organica;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Dimostra autonomia di giudizio e operativa;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 con sicurezza gli strumenti e i linguaggi specifici.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Voto di profitto 9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raggiunto tutti gli obiettivi;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 in modo completo e articolato i contenuti proposti;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Rielabora autonomamente le conoscenze;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 in modo corretto gli strumenti e i linguaggi specifici.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Voto di profitto 8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raggiunto gli obiettivi;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Padroneggia pienamente i contenuti;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Rielabora autonomamente le conoscenze;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 in modo quasi sempre corretto gli strumenti e i linguaggi s</w:t>
      </w:r>
      <w:r>
        <w:rPr>
          <w:color w:val="000000"/>
          <w:sz w:val="24"/>
          <w:szCs w:val="24"/>
        </w:rPr>
        <w:t>pecifici.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ind w:right="213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Voto di profitto 7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 gli argomenti trattati;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consapevolezza dei contenuti;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 autonomamente le conoscenze, che elabora in modo semplice;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 con qualche incertezza gli strumenti e i linguaggi specifici.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Voto di profitto 6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 gli aspetti fondamentali dei temi trattati;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consapevolezza dei contenuti acquisiti, che ripropone in modo semplice;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Guidato, riesce ad applicare le conoscenze di cui è in possesso;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 con  incertezza gli strumenti e i linguaggi specifici.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ind w:right="340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Voto di profitto 5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Conosce in modo incompleto gli aspetti fondamentali dei temi trattati;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acquisito meccanicamente i contenuti, che ripropone in maniera superficiale;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difficoltà nell'applicare le conoscenze;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Utilizza con  difficoltà gli strumenti e i linguaggi specifici.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ind w:right="340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Voto di profitto 4 (utilizzato SOLO nella scuola secondaria di 1° grado)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Conosce in modo frammentario gli aspetti anche fondamentali dei temi trattati;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Non ha acquisito i contenuti;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 carenze di rilievo nell'applicazione e nell'elaborazione delle conoscenze;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jc w:val="both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Non utilizza  gli strumenti e i linguaggi specifici.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ind w:right="340"/>
        <w:jc w:val="both"/>
        <w:rPr>
          <w:color w:val="00000A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A"/>
          <w:sz w:val="24"/>
          <w:szCs w:val="24"/>
        </w:rPr>
      </w:pPr>
      <w:r>
        <w:rPr>
          <w:b/>
          <w:color w:val="548DD4"/>
          <w:sz w:val="32"/>
          <w:szCs w:val="32"/>
        </w:rPr>
        <w:t>***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A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documento di valutazione è inoltre descritto il processo e il livello globale di sviluppo degli apprendimenti raggiunto, in base ai seguenti indicatori:</w:t>
      </w:r>
    </w:p>
    <w:tbl>
      <w:tblPr>
        <w:tblStyle w:val="a0"/>
        <w:tblW w:w="985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909"/>
        <w:gridCol w:w="7949"/>
      </w:tblGrid>
      <w:tr w:rsidR="00C73CB1"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Giudizio complessivo I / II quadrimestre</w:t>
            </w:r>
          </w:p>
        </w:tc>
      </w:tr>
      <w:tr w:rsidR="00C73CB1">
        <w:tc>
          <w:tcPr>
            <w:tcW w:w="9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L’alunno/a ha partecipato in maniera ………………. alle attività proposte. Ha evidenziato interesse……………….. L’impegno è stato ……………….. . Ha raggiunto un’autonomia …………………… . Ha utilizzato un metodo di studio ………………. . </w:t>
            </w:r>
          </w:p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Gli obiettivi didattici programmati …………………</w:t>
            </w:r>
            <w:r>
              <w:rPr>
                <w:color w:val="000000"/>
                <w:sz w:val="24"/>
                <w:szCs w:val="24"/>
              </w:rPr>
              <w:t>……………………………. Ha, quindi, conseguito globalmente un livello di apprendimento.............................  .</w:t>
            </w: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73CB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Partecipazione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proficua soddisfacente sufficiente selettiva  saltuaria  passiva</w:t>
            </w:r>
          </w:p>
        </w:tc>
      </w:tr>
      <w:tr w:rsidR="00C73CB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Interesse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spiccato  notevole apprezzabile  adeguato superficiale scarso </w:t>
            </w:r>
          </w:p>
        </w:tc>
      </w:tr>
      <w:tr w:rsidR="00C73CB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Impegno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costruttivo  assiduo  costante abbastanza regolare incostante carente</w:t>
            </w:r>
          </w:p>
        </w:tc>
      </w:tr>
      <w:tr w:rsidR="00C73CB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Autonomia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piena  buona discreta  limitata</w:t>
            </w:r>
          </w:p>
        </w:tc>
      </w:tr>
      <w:tr w:rsidR="00C73CB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Metodo di studio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organico  organizzato efficace  essenziale inefficace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73CB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sono stati pienamente raggiunti (9-10); sono stati raggiunti in modo soddisfacente (8); sono stati raggiunti (7); sono stati essenzialmente raggiunti (6). I livelli minimi di apprendimento sono stati raggiunti (6); sono stati solo parzialmente</w:t>
            </w:r>
            <w:r>
              <w:rPr>
                <w:color w:val="000000"/>
                <w:sz w:val="24"/>
                <w:szCs w:val="24"/>
              </w:rPr>
              <w:t xml:space="preserve"> raggiunti (5)*; non sono stati raggiunti (4)*.</w:t>
            </w:r>
          </w:p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* in tutte/numerose /alcune discipline /in una disciplina</w:t>
            </w:r>
          </w:p>
        </w:tc>
      </w:tr>
      <w:tr w:rsidR="00C73CB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Livello di apprendimento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Ottimo (10 / distinto (9) / buono (8) /  discreto (7) / sufficiente (6) / non sufficiente (5-4)</w:t>
            </w:r>
          </w:p>
        </w:tc>
      </w:tr>
    </w:tbl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ind w:right="3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Nei periodi di didattica a distanza il giudizio complessivo viene integrato con i seguenti criteri: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ind w:right="340"/>
        <w:jc w:val="both"/>
        <w:rPr>
          <w:color w:val="00000A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9"/>
        <w:ind w:right="3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SCUOLA PRIMARIA</w:t>
      </w:r>
    </w:p>
    <w:p w:rsidR="00C73CB1" w:rsidRDefault="005F6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La puntualità nella consegna dei lavori assegnati è stata (costante, saltuaria, scarsa)</w:t>
      </w:r>
    </w:p>
    <w:p w:rsidR="00C73CB1" w:rsidRDefault="005F6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lastRenderedPageBreak/>
        <w:t xml:space="preserve">I progressi registrati nello sviluppo </w:t>
      </w:r>
      <w:r>
        <w:rPr>
          <w:rFonts w:ascii="Calibri" w:eastAsia="Calibri" w:hAnsi="Calibri" w:cs="Calibri"/>
          <w:color w:val="00000A"/>
          <w:sz w:val="22"/>
          <w:szCs w:val="22"/>
        </w:rPr>
        <w:t>degli apprendimenti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 sono stati  (apprezzabili, discreti, scarsi)</w:t>
      </w:r>
      <w:r>
        <w:rPr>
          <w:color w:val="00000A"/>
          <w:sz w:val="22"/>
          <w:szCs w:val="22"/>
        </w:rPr>
        <w:t xml:space="preserve"> </w:t>
      </w:r>
    </w:p>
    <w:p w:rsidR="00C73CB1" w:rsidRDefault="00C73C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A"/>
          <w:sz w:val="22"/>
          <w:szCs w:val="22"/>
        </w:rPr>
      </w:pPr>
    </w:p>
    <w:p w:rsidR="00C73CB1" w:rsidRDefault="005F65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SCUOLA SECONDARIA DI 1° GRADO</w:t>
      </w:r>
    </w:p>
    <w:p w:rsidR="00C73CB1" w:rsidRDefault="005F65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 La puntualità nella consegna dei lavori assegnati è stata (costante, saltuaria, scarsa) 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32"/>
          <w:szCs w:val="32"/>
        </w:rPr>
        <w:t>***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valutazione formativa dei lavori degli alunni, anche al fine di favorire l’autoconsapevolezza del proprio operato, si è convenuto di utilizzare: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nella scuola primaria: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Nella classe prima vengono utilizzati simboli e brevi giudizi; nelle classi 2^,</w:t>
      </w:r>
      <w:r>
        <w:rPr>
          <w:sz w:val="24"/>
          <w:szCs w:val="24"/>
        </w:rPr>
        <w:t xml:space="preserve"> 3^ 4^ a queste modalità si aggiungeranno progressivamente:</w:t>
      </w:r>
    </w:p>
    <w:p w:rsidR="00C73CB1" w:rsidRDefault="005F65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giudizi articolati</w:t>
      </w:r>
    </w:p>
    <w:p w:rsidR="00C73CB1" w:rsidRDefault="005F65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quantificazione delle risposte esatte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cl. 5^ viene utilizzata una valutazione in decimi.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Gli esiti delle verifiche vengono comunicati alle famiglie, dalla cl. 2^ alla cl. 5^,</w:t>
      </w:r>
      <w:r>
        <w:rPr>
          <w:sz w:val="24"/>
          <w:szCs w:val="24"/>
        </w:rPr>
        <w:t xml:space="preserve"> almeno ogni due mesi. In classe prima possono essere adottate tempistiche diverse. 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La valutazione periodica e annuale non sarà comunque determinata solo da alcune prove </w:t>
      </w:r>
      <w:r>
        <w:rPr>
          <w:color w:val="000000"/>
          <w:sz w:val="24"/>
          <w:szCs w:val="24"/>
        </w:rPr>
        <w:tab/>
        <w:t>stabilite ad hoc, ma terrà conto dell’intero percorso scolastico compiuto dall’alun</w:t>
      </w:r>
      <w:r>
        <w:rPr>
          <w:color w:val="000000"/>
          <w:sz w:val="24"/>
          <w:szCs w:val="24"/>
        </w:rPr>
        <w:t>no.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Per la scuola secondaria di primo grado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Si ritiene che una verifica sistematica e frequente consenta di valutare il grado di </w:t>
      </w:r>
      <w:r>
        <w:rPr>
          <w:color w:val="000000"/>
          <w:sz w:val="24"/>
          <w:szCs w:val="24"/>
        </w:rPr>
        <w:tab/>
        <w:t xml:space="preserve">apprendimento raggiunto dall'alunno e dall'intera classe e concorra ad evidenziare le capacità 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le attitudini degli alunni, anche in vista delle scelte future. La valutazione avrà per oggetto i </w:t>
      </w:r>
      <w:r>
        <w:rPr>
          <w:color w:val="000000"/>
          <w:sz w:val="24"/>
          <w:szCs w:val="24"/>
        </w:rPr>
        <w:tab/>
        <w:t>progressi nell'apprendimento e la crescita globale della personalità.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 xml:space="preserve"> Le regole condivise per la gestione delle procedure di verifica sono le seguenti: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51" w:line="360" w:lineRule="auto"/>
        <w:ind w:right="226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Ogg</w:t>
      </w:r>
      <w:r>
        <w:rPr>
          <w:b/>
          <w:color w:val="00000A"/>
          <w:sz w:val="24"/>
          <w:szCs w:val="24"/>
        </w:rPr>
        <w:t>ettività</w:t>
      </w:r>
      <w:r>
        <w:rPr>
          <w:color w:val="00000A"/>
          <w:sz w:val="24"/>
          <w:szCs w:val="24"/>
        </w:rPr>
        <w:t>: cioè programmazione e comunicazione chiara degli obiettivi della verifica con relativo valore attribuito alle singole voci;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" w:line="36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Periodicità</w:t>
      </w:r>
      <w:r>
        <w:rPr>
          <w:color w:val="00000A"/>
          <w:sz w:val="24"/>
          <w:szCs w:val="24"/>
        </w:rPr>
        <w:t xml:space="preserve">: verranno effettuate almeno </w:t>
      </w:r>
      <w:r>
        <w:rPr>
          <w:b/>
          <w:color w:val="00000A"/>
          <w:sz w:val="24"/>
          <w:szCs w:val="24"/>
        </w:rPr>
        <w:t>tre</w:t>
      </w: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prove</w:t>
      </w:r>
      <w:r>
        <w:rPr>
          <w:color w:val="00000A"/>
          <w:sz w:val="24"/>
          <w:szCs w:val="24"/>
        </w:rPr>
        <w:t xml:space="preserve"> di verifica per quadrimestre: scritte per le discipline che lo prevedono, orali o pratiche dove prescritto;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4" w:line="360" w:lineRule="auto"/>
        <w:ind w:right="165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Formulazione di giudizi circostanziati</w:t>
      </w:r>
      <w:r>
        <w:rPr>
          <w:color w:val="00000A"/>
          <w:sz w:val="24"/>
          <w:szCs w:val="24"/>
        </w:rPr>
        <w:t xml:space="preserve">: riferiti a specifici obiettivi desunti dai curriculi di </w:t>
      </w:r>
      <w:r>
        <w:rPr>
          <w:color w:val="00000A"/>
          <w:sz w:val="24"/>
          <w:szCs w:val="24"/>
        </w:rPr>
        <w:lastRenderedPageBreak/>
        <w:t>Istituto;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2" w:line="360" w:lineRule="auto"/>
        <w:ind w:right="141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Correzione elaborati: </w:t>
      </w:r>
      <w:r>
        <w:rPr>
          <w:color w:val="00000A"/>
          <w:sz w:val="24"/>
          <w:szCs w:val="24"/>
        </w:rPr>
        <w:t>a cura del docente titolare della disciplina, finalizzata alla presa di coscienza da parte degli alunni degli obiettivi raggiunti e di quelli ancora da raggiungere;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4" w:line="36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Restituzione elaborati: </w:t>
      </w:r>
      <w:r>
        <w:rPr>
          <w:color w:val="00000A"/>
          <w:sz w:val="24"/>
          <w:szCs w:val="24"/>
        </w:rPr>
        <w:t>al massimo entro quindici giorni;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6" w:line="360" w:lineRule="auto"/>
        <w:ind w:right="426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Comunicazione alle famiglie: </w:t>
      </w:r>
      <w:r>
        <w:rPr>
          <w:color w:val="00000A"/>
          <w:sz w:val="24"/>
          <w:szCs w:val="24"/>
        </w:rPr>
        <w:t>attraverso il registro elettronico, i colloqui individuali e generali, il documento di valutazione, la certificazione delle competenze, il diploma conclusivo.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112"/>
        <w:rPr>
          <w:color w:val="548DD4"/>
          <w:sz w:val="28"/>
          <w:szCs w:val="28"/>
        </w:rPr>
      </w:pPr>
      <w:r>
        <w:rPr>
          <w:color w:val="00000A"/>
          <w:sz w:val="24"/>
          <w:szCs w:val="24"/>
        </w:rPr>
        <w:t>La valutazione terrà conto anche dei condizionamenti socio-ambientali.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La valutazione del comport</w:t>
      </w:r>
      <w:r>
        <w:rPr>
          <w:b/>
          <w:color w:val="548DD4"/>
          <w:sz w:val="28"/>
          <w:szCs w:val="28"/>
        </w:rPr>
        <w:t>amento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Come previsto dal decreto legislativo n. 62/17, la valutazione del comportamento è espressa collegialmente dai docenti attraverso un giudizio sintetico riferito a: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6" w:line="360" w:lineRule="auto"/>
        <w:ind w:right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sviluppo delle competenze di cittadinanza incluse nei curricoli di Istituto (per scuola primaria e secondaria)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6" w:line="360" w:lineRule="auto"/>
        <w:ind w:right="42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alcuni contenuti del patto di corresponsabilità condiviso e sottoscritto dalle famiglie (per scuola primaria e secondaria)</w:t>
      </w:r>
    </w:p>
    <w:p w:rsidR="00C73CB1" w:rsidRDefault="005F65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6" w:line="360" w:lineRule="auto"/>
        <w:ind w:right="426"/>
        <w:jc w:val="both"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>Il regolamento di</w:t>
      </w:r>
      <w:r>
        <w:rPr>
          <w:color w:val="000000"/>
          <w:sz w:val="24"/>
          <w:szCs w:val="24"/>
        </w:rPr>
        <w:t xml:space="preserve"> Istituto in cui trova esplicitazione quanto contenuto nello Statuto delle studentesse e degli studenti (solo per la scuola secondaria di 1° grado).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 xml:space="preserve">Pertanto il giudizio di comportamento viene formulato in base a i seguenti indicatori, </w:t>
      </w:r>
      <w:r>
        <w:rPr>
          <w:color w:val="00000A"/>
          <w:sz w:val="24"/>
          <w:szCs w:val="24"/>
        </w:rPr>
        <w:t xml:space="preserve">che possono essere </w:t>
      </w:r>
      <w:r>
        <w:rPr>
          <w:color w:val="00000A"/>
          <w:sz w:val="24"/>
          <w:szCs w:val="24"/>
        </w:rPr>
        <w:t>usati anche solo parzialmente, ove mancassero elementi di valutazione:</w:t>
      </w:r>
    </w:p>
    <w:tbl>
      <w:tblPr>
        <w:tblStyle w:val="a1"/>
        <w:tblW w:w="112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09"/>
        <w:gridCol w:w="1427"/>
        <w:gridCol w:w="1283"/>
        <w:gridCol w:w="1334"/>
        <w:gridCol w:w="1504"/>
        <w:gridCol w:w="1494"/>
        <w:gridCol w:w="1530"/>
      </w:tblGrid>
      <w:tr w:rsidR="00C73CB1">
        <w:trPr>
          <w:trHeight w:val="257"/>
        </w:trPr>
        <w:tc>
          <w:tcPr>
            <w:tcW w:w="1546" w:type="dxa"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45" w:type="dxa"/>
            <w:gridSpan w:val="5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livelli</w:t>
            </w:r>
          </w:p>
        </w:tc>
      </w:tr>
      <w:tr w:rsidR="00C73CB1">
        <w:trPr>
          <w:trHeight w:val="1201"/>
        </w:trPr>
        <w:tc>
          <w:tcPr>
            <w:tcW w:w="1546" w:type="dxa"/>
            <w:vMerge w:val="restart"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Competenze di cittadinanza</w:t>
            </w:r>
          </w:p>
        </w:tc>
        <w:tc>
          <w:tcPr>
            <w:tcW w:w="1109" w:type="dxa"/>
            <w:vMerge w:val="restart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Sociali e civiche</w:t>
            </w:r>
          </w:p>
        </w:tc>
        <w:tc>
          <w:tcPr>
            <w:tcW w:w="1427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 rende disponibile a collaborare con gli altri e ad aiutarli</w:t>
            </w:r>
          </w:p>
        </w:tc>
        <w:tc>
          <w:tcPr>
            <w:tcW w:w="1283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Raramente</w:t>
            </w:r>
          </w:p>
        </w:tc>
        <w:tc>
          <w:tcPr>
            <w:tcW w:w="133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 sollecitato </w:t>
            </w:r>
          </w:p>
        </w:tc>
        <w:tc>
          <w:tcPr>
            <w:tcW w:w="150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i compagni glielo chiedono</w:t>
            </w:r>
          </w:p>
        </w:tc>
        <w:tc>
          <w:tcPr>
            <w:tcW w:w="149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Spontaneamente</w:t>
            </w:r>
          </w:p>
        </w:tc>
        <w:tc>
          <w:tcPr>
            <w:tcW w:w="1530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Spontaneamente, e dimostrando di saper gestire il supporto in base alle esigenze</w:t>
            </w:r>
          </w:p>
        </w:tc>
      </w:tr>
      <w:tr w:rsidR="00C73CB1">
        <w:trPr>
          <w:trHeight w:val="145"/>
        </w:trPr>
        <w:tc>
          <w:tcPr>
            <w:tcW w:w="1546" w:type="dxa"/>
            <w:vMerge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Rispetta le persone, i materiali, gli ambienti</w:t>
            </w:r>
          </w:p>
        </w:tc>
        <w:tc>
          <w:tcPr>
            <w:tcW w:w="1283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sempre</w:t>
            </w:r>
          </w:p>
        </w:tc>
        <w:tc>
          <w:tcPr>
            <w:tcW w:w="133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Solo se controllato dall’adulto</w:t>
            </w:r>
          </w:p>
        </w:tc>
        <w:tc>
          <w:tcPr>
            <w:tcW w:w="150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situazioni di routine</w:t>
            </w:r>
          </w:p>
        </w:tc>
        <w:tc>
          <w:tcPr>
            <w:tcW w:w="149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modo consapevole</w:t>
            </w:r>
          </w:p>
        </w:tc>
        <w:tc>
          <w:tcPr>
            <w:tcW w:w="1530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modo consapevole e responsabile</w:t>
            </w:r>
          </w:p>
        </w:tc>
      </w:tr>
      <w:tr w:rsidR="00C73CB1">
        <w:trPr>
          <w:trHeight w:val="145"/>
        </w:trPr>
        <w:tc>
          <w:tcPr>
            <w:tcW w:w="1546" w:type="dxa"/>
            <w:vMerge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Dà un contributo significativo nel lavoro di gruppo</w:t>
            </w:r>
          </w:p>
        </w:tc>
        <w:tc>
          <w:tcPr>
            <w:tcW w:w="1283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rado</w:t>
            </w:r>
          </w:p>
        </w:tc>
        <w:tc>
          <w:tcPr>
            <w:tcW w:w="133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guidato</w:t>
            </w:r>
          </w:p>
        </w:tc>
        <w:tc>
          <w:tcPr>
            <w:tcW w:w="150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Esprimendo idee e proposte</w:t>
            </w:r>
          </w:p>
        </w:tc>
        <w:tc>
          <w:tcPr>
            <w:tcW w:w="149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Impegnandosi ad organizzare l’attività ed avanzando proposte</w:t>
            </w:r>
          </w:p>
        </w:tc>
        <w:tc>
          <w:tcPr>
            <w:tcW w:w="1530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Esprimendo proposte e capacità organizzative fondamentali </w:t>
            </w:r>
          </w:p>
        </w:tc>
      </w:tr>
      <w:tr w:rsidR="00C73CB1">
        <w:trPr>
          <w:trHeight w:val="145"/>
        </w:trPr>
        <w:tc>
          <w:tcPr>
            <w:tcW w:w="1546" w:type="dxa"/>
            <w:vMerge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Digitali </w:t>
            </w:r>
          </w:p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Usa gli strumenti digitali in modo efficace e con consapevolezza</w:t>
            </w:r>
          </w:p>
        </w:tc>
        <w:tc>
          <w:tcPr>
            <w:tcW w:w="1283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Raramente</w:t>
            </w:r>
          </w:p>
        </w:tc>
        <w:tc>
          <w:tcPr>
            <w:tcW w:w="133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Solo con la supervisione dell’adulto</w:t>
            </w:r>
          </w:p>
        </w:tc>
        <w:tc>
          <w:tcPr>
            <w:tcW w:w="150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Generalmente</w:t>
            </w:r>
          </w:p>
        </w:tc>
        <w:tc>
          <w:tcPr>
            <w:tcW w:w="149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Autonomamente </w:t>
            </w:r>
          </w:p>
        </w:tc>
        <w:tc>
          <w:tcPr>
            <w:tcW w:w="1530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Sempre e con spirito critico</w:t>
            </w:r>
          </w:p>
        </w:tc>
      </w:tr>
      <w:tr w:rsidR="00C73CB1">
        <w:trPr>
          <w:trHeight w:val="145"/>
        </w:trPr>
        <w:tc>
          <w:tcPr>
            <w:tcW w:w="1546" w:type="dxa"/>
            <w:vMerge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Spirito di iniziativa</w:t>
            </w:r>
          </w:p>
        </w:tc>
        <w:tc>
          <w:tcPr>
            <w:tcW w:w="1427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Propone idee personali</w:t>
            </w:r>
          </w:p>
        </w:tc>
        <w:tc>
          <w:tcPr>
            <w:tcW w:w="1283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Solo di rado</w:t>
            </w:r>
          </w:p>
        </w:tc>
        <w:tc>
          <w:tcPr>
            <w:tcW w:w="133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guidato</w:t>
            </w:r>
          </w:p>
        </w:tc>
        <w:tc>
          <w:tcPr>
            <w:tcW w:w="150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Autonomamente, ma non sempre in modo coerente</w:t>
            </w:r>
          </w:p>
        </w:tc>
        <w:tc>
          <w:tcPr>
            <w:tcW w:w="149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Autonomamente e in modo coerente</w:t>
            </w:r>
          </w:p>
        </w:tc>
        <w:tc>
          <w:tcPr>
            <w:tcW w:w="1530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Autonomamente, in modo originale e argomentandole</w:t>
            </w:r>
          </w:p>
        </w:tc>
      </w:tr>
      <w:tr w:rsidR="00C73CB1">
        <w:trPr>
          <w:trHeight w:val="528"/>
        </w:trPr>
        <w:tc>
          <w:tcPr>
            <w:tcW w:w="1546" w:type="dxa"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Rispetto del regolamento di Istituto (solo scuola secondaria)</w:t>
            </w:r>
          </w:p>
        </w:tc>
        <w:tc>
          <w:tcPr>
            <w:tcW w:w="1109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Sanzioni disciplinari</w:t>
            </w:r>
          </w:p>
        </w:tc>
        <w:tc>
          <w:tcPr>
            <w:tcW w:w="1427" w:type="dxa"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 a suo carico ripetuti e gravi provvedimenti disciplinari</w:t>
            </w:r>
          </w:p>
        </w:tc>
        <w:tc>
          <w:tcPr>
            <w:tcW w:w="133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 a suo carico più di un provvedimento disciplinare</w:t>
            </w:r>
          </w:p>
        </w:tc>
        <w:tc>
          <w:tcPr>
            <w:tcW w:w="150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 a suo carico qualche provvedimento disciplinare</w:t>
            </w:r>
          </w:p>
        </w:tc>
        <w:tc>
          <w:tcPr>
            <w:tcW w:w="149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Non ha </w:t>
            </w:r>
            <w:r>
              <w:rPr>
                <w:color w:val="000000"/>
                <w:sz w:val="18"/>
                <w:szCs w:val="18"/>
              </w:rPr>
              <w:t>avuto sanzioni disciplinari, ma solo qualche ammonizione  per mancanza di materiale e/o consegne trascurate</w:t>
            </w:r>
          </w:p>
        </w:tc>
        <w:tc>
          <w:tcPr>
            <w:tcW w:w="1530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ha a suo carico provvedimenti disciplinari</w:t>
            </w:r>
          </w:p>
        </w:tc>
      </w:tr>
      <w:tr w:rsidR="00C73CB1">
        <w:trPr>
          <w:trHeight w:val="1426"/>
        </w:trPr>
        <w:tc>
          <w:tcPr>
            <w:tcW w:w="1546" w:type="dxa"/>
          </w:tcPr>
          <w:p w:rsidR="00C73CB1" w:rsidRDefault="00C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Rispetto del patto di corresponsabilità</w:t>
            </w:r>
          </w:p>
        </w:tc>
        <w:tc>
          <w:tcPr>
            <w:tcW w:w="1109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dei principi di buona educazione appresi in famiglia</w:t>
            </w:r>
          </w:p>
        </w:tc>
        <w:tc>
          <w:tcPr>
            <w:tcW w:w="1427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Saluta, ringrazia, chiede scusa e si rapporta in modo corretto con adulti e coetanei</w:t>
            </w:r>
          </w:p>
        </w:tc>
        <w:tc>
          <w:tcPr>
            <w:tcW w:w="1283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rado</w:t>
            </w:r>
          </w:p>
        </w:tc>
        <w:tc>
          <w:tcPr>
            <w:tcW w:w="133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volte</w:t>
            </w:r>
          </w:p>
        </w:tc>
        <w:tc>
          <w:tcPr>
            <w:tcW w:w="150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Spesso</w:t>
            </w:r>
          </w:p>
        </w:tc>
        <w:tc>
          <w:tcPr>
            <w:tcW w:w="1494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Quasi sempre</w:t>
            </w:r>
          </w:p>
        </w:tc>
        <w:tc>
          <w:tcPr>
            <w:tcW w:w="1530" w:type="dxa"/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Regolarmente</w:t>
            </w:r>
          </w:p>
        </w:tc>
      </w:tr>
    </w:tbl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Religione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548DD4"/>
          <w:sz w:val="28"/>
          <w:szCs w:val="28"/>
        </w:rPr>
        <w:t>cattolica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sensi della </w:t>
      </w:r>
      <w:r>
        <w:rPr>
          <w:color w:val="000000"/>
          <w:sz w:val="24"/>
          <w:szCs w:val="24"/>
          <w:u w:val="single"/>
        </w:rPr>
        <w:t xml:space="preserve">Legge n. 169/2008 </w:t>
      </w:r>
      <w:r>
        <w:rPr>
          <w:color w:val="000000"/>
          <w:sz w:val="24"/>
          <w:szCs w:val="24"/>
        </w:rPr>
        <w:t xml:space="preserve">e del </w:t>
      </w:r>
      <w:r>
        <w:rPr>
          <w:color w:val="000000"/>
          <w:sz w:val="24"/>
          <w:szCs w:val="24"/>
          <w:u w:val="single"/>
        </w:rPr>
        <w:t xml:space="preserve">D.Lgs 62/17, </w:t>
      </w:r>
      <w:r>
        <w:rPr>
          <w:color w:val="000000"/>
          <w:sz w:val="24"/>
          <w:szCs w:val="24"/>
        </w:rPr>
        <w:t>la valutazione dell’insegnamento della religione cattolica viene espressa senza attribuzione di voto numerico, ma attraverso un giudizio “riguardante l’interesse con il quale l’alunno segue l’insegnamento e il profitto che ne ritrae” (De</w:t>
      </w:r>
      <w:r>
        <w:rPr>
          <w:color w:val="000000"/>
          <w:sz w:val="24"/>
          <w:szCs w:val="24"/>
        </w:rPr>
        <w:t>creto Legislativo n. 297/1994).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giudizi utilizzati sono:</w:t>
      </w:r>
      <w:r>
        <w:rPr>
          <w:i/>
          <w:color w:val="000000"/>
          <w:sz w:val="24"/>
          <w:szCs w:val="24"/>
        </w:rPr>
        <w:t xml:space="preserve"> Ottimo,  distinto,  buono,   discreto,  sufficiente,  non sufficiente.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valutazione dell’insegnamento della religione cattolica viene espressa in una specifica nota allegata al documento di val</w:t>
      </w:r>
      <w:r>
        <w:rPr>
          <w:color w:val="000000"/>
          <w:sz w:val="24"/>
          <w:szCs w:val="24"/>
        </w:rPr>
        <w:t>utazione, firmata dal docente.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docenti di religione cattolica firmano anche i documenti di valutazione degli alunni che si avvalgono dell’insegnamento.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Attività alternative alla religione cattolica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alunni che non si avvalgono dell’insegnamento della religione cattolica seguono, su esplicita richiesta della famiglia, attività didattiche formative progettate dai docenti oppure attività di studio </w:t>
      </w:r>
      <w:r>
        <w:rPr>
          <w:color w:val="000000"/>
          <w:sz w:val="24"/>
          <w:szCs w:val="24"/>
        </w:rPr>
        <w:lastRenderedPageBreak/>
        <w:t>individuale assistito dai docenti. Le famiglie posson</w:t>
      </w:r>
      <w:r>
        <w:rPr>
          <w:color w:val="000000"/>
          <w:sz w:val="24"/>
          <w:szCs w:val="24"/>
        </w:rPr>
        <w:t>o anche optare per l’entrata posticipata o l’uscita anticipata.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sensi del </w:t>
      </w:r>
      <w:r>
        <w:rPr>
          <w:color w:val="000000"/>
          <w:sz w:val="24"/>
          <w:szCs w:val="24"/>
          <w:u w:val="single"/>
        </w:rPr>
        <w:t xml:space="preserve">Decreto legislativo 62/17 </w:t>
      </w:r>
      <w:r>
        <w:rPr>
          <w:color w:val="000000"/>
          <w:sz w:val="24"/>
          <w:szCs w:val="24"/>
        </w:rPr>
        <w:t xml:space="preserve">i docenti incaricati delle </w:t>
      </w:r>
      <w:r>
        <w:rPr>
          <w:b/>
          <w:color w:val="000000"/>
          <w:sz w:val="24"/>
          <w:szCs w:val="24"/>
        </w:rPr>
        <w:t>“attività didattiche formative alternative”</w:t>
      </w:r>
      <w:r>
        <w:rPr>
          <w:color w:val="000000"/>
          <w:sz w:val="24"/>
          <w:szCs w:val="24"/>
        </w:rPr>
        <w:t xml:space="preserve"> alla RC forniscono ai docenti della classe elementi conoscitivi sull’interesse ma</w:t>
      </w:r>
      <w:r>
        <w:rPr>
          <w:color w:val="000000"/>
          <w:sz w:val="24"/>
          <w:szCs w:val="24"/>
        </w:rPr>
        <w:t xml:space="preserve">nifestato e il profitto raggiunto dall’alunno, utilizzando i </w:t>
      </w:r>
      <w:r>
        <w:rPr>
          <w:b/>
          <w:color w:val="000000"/>
          <w:sz w:val="24"/>
          <w:szCs w:val="24"/>
        </w:rPr>
        <w:t>giudizi</w:t>
      </w:r>
      <w:r>
        <w:rPr>
          <w:i/>
          <w:color w:val="000000"/>
          <w:sz w:val="24"/>
          <w:szCs w:val="24"/>
        </w:rPr>
        <w:t xml:space="preserve"> non sufficiente, sufficiente, buono, discreto, distinto e ottimo</w:t>
      </w:r>
      <w:r>
        <w:rPr>
          <w:color w:val="000000"/>
          <w:sz w:val="24"/>
          <w:szCs w:val="24"/>
        </w:rPr>
        <w:t xml:space="preserve">. 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valutazione non è prevista per gli alunni che scelgono lo studio assistito o l’uscita posticipata/anticipata dalle l</w:t>
      </w:r>
      <w:r>
        <w:rPr>
          <w:color w:val="000000"/>
          <w:sz w:val="24"/>
          <w:szCs w:val="24"/>
        </w:rPr>
        <w:t>ezioni.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548DD4"/>
          <w:sz w:val="28"/>
          <w:szCs w:val="28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Valutazione degli alunni con disabilità o 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disturbi specifici di apprendimento certificati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valutazione deriva dal PEI dell’alunno o comunque dalla progettazione educativa predisposta dai docenti, nel caso in cui non sia ancora disponibile la documentazione prevista dalla legge 104/92.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nei documenti risulta che il bambino può raggiungere d</w:t>
      </w:r>
      <w:r>
        <w:rPr>
          <w:color w:val="000000"/>
          <w:sz w:val="24"/>
          <w:szCs w:val="24"/>
        </w:rPr>
        <w:t>egli obiettivi di apprendimento in tutte le discipline, pur con strategie e accorgimenti compensativi e/o dispensativi individualizzati, la valutazione sarà espressa su ogni disciplina; se, al contrario, nella progettazione individualizzata vengono inserit</w:t>
      </w:r>
      <w:r>
        <w:rPr>
          <w:color w:val="000000"/>
          <w:sz w:val="24"/>
          <w:szCs w:val="24"/>
        </w:rPr>
        <w:t>e solo alcune discipline, la valutazione verrà espressa solo per le aree di intervento, precisando il riferimento al PEI.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valutazione è espressa in decimi.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docenti di sostegno partecipano alla valutazione di tutti gli alunni della classe alla quale s</w:t>
      </w:r>
      <w:r>
        <w:rPr>
          <w:color w:val="000000"/>
          <w:sz w:val="24"/>
          <w:szCs w:val="24"/>
        </w:rPr>
        <w:t>ono assegnati.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Trasparenza della valutazione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alunni e i loro genitori saranno messi nella condizione di comprendere quali elementi determinano il voto numerico che viene apposto nella scheda di valutazione.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Strumenti della valutazione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strumenti utilizzati sono: interrogazioni, discussioni, relazioni orali e scritte, prove orali e scritte o pratiche, questionari a risposta aperta o chiusa, vero o falso, scelta multipla, lavori applicativi nozioni acquisite, ricerche individuali e di </w:t>
      </w:r>
      <w:r>
        <w:rPr>
          <w:color w:val="000000"/>
          <w:sz w:val="24"/>
          <w:szCs w:val="24"/>
        </w:rPr>
        <w:t xml:space="preserve">gruppo, allestimento cartelloni, lavori diversificati, compiti autentici, ecc. 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48DD4"/>
          <w:sz w:val="28"/>
          <w:szCs w:val="28"/>
        </w:rPr>
        <w:sectPr w:rsidR="00C73CB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80" w:right="1020" w:bottom="1020" w:left="1020" w:header="1020" w:footer="720" w:gutter="0"/>
          <w:pgNumType w:start="1"/>
          <w:cols w:space="720" w:equalWidth="0">
            <w:col w:w="9972"/>
          </w:cols>
        </w:sectPr>
      </w:pPr>
      <w:r>
        <w:rPr>
          <w:color w:val="000000"/>
          <w:sz w:val="24"/>
          <w:szCs w:val="24"/>
        </w:rPr>
        <w:t>Attraverso l’osservazione sistematica del comportamento, anche tramite rubriche di valutazione, vengono valutati gli aspetti non cognitivi in relazione a: partecipazione, impegno, interesse, autonomia, metodo di studio.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A"/>
          <w:sz w:val="24"/>
          <w:szCs w:val="24"/>
        </w:rPr>
      </w:pPr>
      <w:r>
        <w:rPr>
          <w:b/>
          <w:color w:val="548DD4"/>
          <w:sz w:val="28"/>
          <w:szCs w:val="28"/>
        </w:rPr>
        <w:lastRenderedPageBreak/>
        <w:t>Criteri di ammissione alla classe su</w:t>
      </w:r>
      <w:r>
        <w:rPr>
          <w:b/>
          <w:color w:val="548DD4"/>
          <w:sz w:val="28"/>
          <w:szCs w:val="28"/>
        </w:rPr>
        <w:t>ccessiva e all’esame di Stato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before="139" w:line="352" w:lineRule="auto"/>
        <w:ind w:right="616"/>
        <w:jc w:val="both"/>
        <w:rPr>
          <w:color w:val="00000A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36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Nella scuola primaria i docenti della classe, con decisione assunta all’unanimità, possono non ammettere l’alunno/a alla classe successiva solo in casi eccezionali e comprovati da specifica motivazione.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360" w:lineRule="auto"/>
        <w:rPr>
          <w:color w:val="00000A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36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Nella scuola secondaria di 1° grado si procede allo scrutinio degli alunni solo se essi hanno frequentato per i ¾ dell’orario personalizzato delle lezioni. Il Collegio ha deliberato le seguenti deroghe al numero di assenze:</w:t>
      </w:r>
    </w:p>
    <w:p w:rsidR="00C73CB1" w:rsidRDefault="005F65B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36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deroga in caso di assenze dovute</w:t>
      </w:r>
      <w:r>
        <w:rPr>
          <w:color w:val="00000A"/>
          <w:sz w:val="24"/>
          <w:szCs w:val="24"/>
        </w:rPr>
        <w:t xml:space="preserve"> a periodi di malattia;</w:t>
      </w:r>
    </w:p>
    <w:p w:rsidR="00C73CB1" w:rsidRDefault="005F65B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36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deroga in caso di assenze dovute a viaggio nella terra d’origine per gli alunni stranieri.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36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La possibilità di deroga verrà valutata dai singoli consigli di classe. 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360" w:lineRule="auto"/>
        <w:rPr>
          <w:color w:val="00000A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line="360" w:lineRule="auto"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>Per quanto riguarda l’ammissione all’anno scolastico successivo e a</w:t>
      </w:r>
      <w:r>
        <w:rPr>
          <w:color w:val="00000A"/>
          <w:sz w:val="24"/>
          <w:szCs w:val="24"/>
        </w:rPr>
        <w:t>ll’Esame di Stato, gli alunni e le alunne della scuola secondaria di 1° grado sono ammessi alla classe successiva o all’esame di Stato anche in presenza di livelli di apprendimento parzialmente raggiunti o in via di acquisizione, se si verificano una o più</w:t>
      </w:r>
      <w:r>
        <w:rPr>
          <w:color w:val="00000A"/>
          <w:sz w:val="24"/>
          <w:szCs w:val="24"/>
        </w:rPr>
        <w:t xml:space="preserve"> delle seguenti condizioni:</w:t>
      </w:r>
    </w:p>
    <w:tbl>
      <w:tblPr>
        <w:tblStyle w:val="a2"/>
        <w:tblW w:w="10040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0040"/>
      </w:tblGrid>
      <w:tr w:rsidR="00C73CB1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Miglioramento conseguito nel corso dell’anno scolastico rispetto ai livelli di partenza</w:t>
            </w:r>
          </w:p>
        </w:tc>
      </w:tr>
      <w:tr w:rsidR="00C73CB1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Dimostrazione di un positivo impegno nelle attività di recupero/ supporto effettuate</w:t>
            </w:r>
          </w:p>
        </w:tc>
      </w:tr>
      <w:tr w:rsidR="00C73CB1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Frequenza assidua e partecipazione attiva alla vita scolastica</w:t>
            </w:r>
          </w:p>
        </w:tc>
      </w:tr>
      <w:tr w:rsidR="00C73CB1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Comportamento corretto e collaborativo</w:t>
            </w:r>
          </w:p>
        </w:tc>
      </w:tr>
      <w:tr w:rsidR="00C73CB1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Motivi di salute o di consistente disagio psicologico e sociale che hanno influito sul rendimento scolastico</w:t>
            </w:r>
          </w:p>
        </w:tc>
      </w:tr>
      <w:tr w:rsidR="00C73CB1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Sufficiente livello di integrazione all’in</w:t>
            </w:r>
            <w:r>
              <w:rPr>
                <w:color w:val="000000"/>
                <w:sz w:val="24"/>
                <w:szCs w:val="24"/>
              </w:rPr>
              <w:t>terno del gruppo classe</w:t>
            </w:r>
          </w:p>
        </w:tc>
      </w:tr>
      <w:tr w:rsidR="00C73CB1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1" w:rsidRDefault="005F6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Sufficiente livello di maturazione raggiunto</w:t>
            </w:r>
          </w:p>
        </w:tc>
      </w:tr>
    </w:tbl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before="5" w:line="360" w:lineRule="auto"/>
        <w:ind w:right="548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before="5" w:line="360" w:lineRule="auto"/>
        <w:ind w:right="548"/>
        <w:jc w:val="both"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>Nello stabilire il voto d’ammissione all’ esame di Stato  ogni consiglio di classe farà la media ponderata dei risultati del secondo quadrimestre di ogni anno scolastico, perfezionando per  eccesso o per difetto, tenuto conto del processo evolutivo dell’al</w:t>
      </w:r>
      <w:r>
        <w:rPr>
          <w:color w:val="00000A"/>
          <w:sz w:val="24"/>
          <w:szCs w:val="24"/>
        </w:rPr>
        <w:t>unno.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2" w:lineRule="auto"/>
        <w:ind w:right="185"/>
        <w:rPr>
          <w:color w:val="548DD4"/>
          <w:sz w:val="24"/>
          <w:szCs w:val="24"/>
        </w:rPr>
      </w:pPr>
      <w:r>
        <w:rPr>
          <w:color w:val="00000A"/>
          <w:sz w:val="24"/>
          <w:szCs w:val="24"/>
        </w:rPr>
        <w:t xml:space="preserve">In sede d’esame finale agli alunni particolarmente meritevoli che conseguiranno il punteggio di 10 </w:t>
      </w:r>
      <w:r>
        <w:rPr>
          <w:color w:val="00000A"/>
          <w:sz w:val="24"/>
          <w:szCs w:val="24"/>
        </w:rPr>
        <w:lastRenderedPageBreak/>
        <w:t>decimi potrà essere assegnata la lode dalla commissione che deciderà all’unanimità.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Valutazione degli alunni con disabilità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alunni con disabilità saranno valutati, oltre che sul comportamento, anche sulle discipline e sulle attività predisposte e svolte sulla base del P.E.I. (Piano Educativo Individualizzato, come dall’art. 12, c. 5 L.104/92).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essi, qualora richieste, </w:t>
      </w:r>
      <w:r>
        <w:rPr>
          <w:color w:val="000000"/>
          <w:sz w:val="24"/>
          <w:szCs w:val="24"/>
        </w:rPr>
        <w:t>si provvederà in sede di Esame di Stato, alla predisposizione di prove differenziate.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48DD4"/>
          <w:sz w:val="28"/>
          <w:szCs w:val="28"/>
        </w:rPr>
      </w:pPr>
      <w:r>
        <w:rPr>
          <w:color w:val="000000"/>
          <w:sz w:val="24"/>
          <w:szCs w:val="24"/>
        </w:rPr>
        <w:t xml:space="preserve">Come previsto dal decreto legislativo n. 62/17, tutti gli alunni con disabilità acquisiranno il diploma di licenza al termine della scuola sec. di 1° grado, a condizione </w:t>
      </w:r>
      <w:r>
        <w:rPr>
          <w:color w:val="000000"/>
          <w:sz w:val="24"/>
          <w:szCs w:val="24"/>
        </w:rPr>
        <w:t>che siano stati ammessi e siano presenti alle sessioni d’esame stabilite.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Valutazione degli Alunni DSA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gli Alunni in situazione di Difficoltà Specifiche di Apprendimento, debitamente certificate, verrà predisposto un PDP (Piano Didattico Personalizzat</w:t>
      </w:r>
      <w:r>
        <w:rPr>
          <w:color w:val="000000"/>
          <w:sz w:val="24"/>
          <w:szCs w:val="24"/>
        </w:rPr>
        <w:t>o), con il quale si prevede che, in sede di svolgimento delle attività didattiche, ed anche in sede di esame, siano attivate adeguate misure dispensative e compensative e che la relativa valutazione sia effettuata tenendo conto delle particolari situazioni</w:t>
      </w:r>
      <w:r>
        <w:rPr>
          <w:color w:val="000000"/>
          <w:sz w:val="24"/>
          <w:szCs w:val="24"/>
        </w:rPr>
        <w:t xml:space="preserve"> ed esigenze personali degli alunni</w:t>
      </w:r>
      <w:r>
        <w:rPr>
          <w:color w:val="00000A"/>
          <w:sz w:val="24"/>
          <w:szCs w:val="24"/>
        </w:rPr>
        <w:t>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>Valutazione degli alunni BES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Ogni alunno, con continuità o per determinati periodi, può manifestare Bisogni Educativi Speciali: o per motivi fisici, biologici, fisiologici o anche per motivi psicologici, sociali, risp</w:t>
      </w:r>
      <w:r>
        <w:rPr>
          <w:color w:val="000000"/>
          <w:sz w:val="24"/>
          <w:szCs w:val="24"/>
        </w:rPr>
        <w:t xml:space="preserve">etto ai quali è necessario che la scuola offra adeguata e personalizzata risposta. 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consigli di classe, dopo aver esaminato eventuali certificazioni o dopo aver individuato sulla base di attente considerazioni didattiche e psicopedagogiche, gli allievi c</w:t>
      </w:r>
      <w:r>
        <w:rPr>
          <w:color w:val="000000"/>
          <w:sz w:val="24"/>
          <w:szCs w:val="24"/>
        </w:rPr>
        <w:t xml:space="preserve">on Bisogni Educativi Speciali, predispongono un Piano Didattico Personalizzato (PDP) avvalendosi della Direttiva Ministeriale in data 27 dicembre 2012 e della Circolare ministeriale n.8 in data 6 marzo 2013. 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548DD4"/>
          <w:sz w:val="28"/>
          <w:szCs w:val="28"/>
        </w:rPr>
      </w:pPr>
      <w:r>
        <w:rPr>
          <w:color w:val="000000"/>
          <w:sz w:val="24"/>
          <w:szCs w:val="24"/>
        </w:rPr>
        <w:t>Nel PDP verranno esplicitati gli opportuni stru</w:t>
      </w:r>
      <w:r>
        <w:rPr>
          <w:color w:val="000000"/>
          <w:sz w:val="24"/>
          <w:szCs w:val="24"/>
        </w:rPr>
        <w:t xml:space="preserve">menti compensativi e le misure dispensative previsti già dalla legge 170/2010 (DSA) alla quale fanno riferimento anche gli alunni con Bisogni Educativi Speciali. Agli studenti con BES sono garantite, durante il percorso di istruzione e di formazione </w:t>
      </w:r>
      <w:r>
        <w:rPr>
          <w:color w:val="000000"/>
          <w:sz w:val="24"/>
          <w:szCs w:val="24"/>
        </w:rPr>
        <w:lastRenderedPageBreak/>
        <w:t>scolas</w:t>
      </w:r>
      <w:r>
        <w:rPr>
          <w:color w:val="000000"/>
          <w:sz w:val="24"/>
          <w:szCs w:val="24"/>
        </w:rPr>
        <w:t>tica adeguate forme di verifica e di valutazione, anche per quanto concerne gli Esami di Stato.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2F5496"/>
          <w:sz w:val="24"/>
          <w:szCs w:val="24"/>
        </w:rPr>
      </w:pPr>
      <w:r>
        <w:rPr>
          <w:b/>
          <w:color w:val="548DD4"/>
          <w:sz w:val="28"/>
          <w:szCs w:val="28"/>
        </w:rPr>
        <w:t>Certificazione delle Competenze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F5496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Al termine della classe 5^ della scuola primaria e al termine della classe 3^ della sc. secondaria di 1° grado, viene rilasciato, oltre al documento di valutazione, anche un certificato delle competenze sviluppate; tale certificato va presentato alla scuol</w:t>
      </w:r>
      <w:r>
        <w:rPr>
          <w:color w:val="00000A"/>
          <w:sz w:val="24"/>
          <w:szCs w:val="24"/>
        </w:rPr>
        <w:t>a secondaria di 2° grado ed è stilato in base al modello fornito dal Ministero.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36"/>
        <w:jc w:val="center"/>
        <w:rPr>
          <w:color w:val="000000"/>
          <w:sz w:val="24"/>
          <w:szCs w:val="24"/>
        </w:rPr>
      </w:pPr>
      <w:r>
        <w:rPr>
          <w:b/>
          <w:color w:val="548DD4"/>
          <w:sz w:val="28"/>
          <w:szCs w:val="28"/>
        </w:rPr>
        <w:t xml:space="preserve">Prove Invalsi 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prove INVALSI (</w:t>
      </w:r>
      <w:r>
        <w:rPr>
          <w:color w:val="00000A"/>
          <w:sz w:val="24"/>
          <w:szCs w:val="24"/>
        </w:rPr>
        <w:t>Istituto Nazionale della Valutazione del Sistema Istruzione) sono uno strumento fondamentale per l’autovalutazione dell’Istituto; esse consen</w:t>
      </w:r>
      <w:r>
        <w:rPr>
          <w:color w:val="00000A"/>
          <w:sz w:val="24"/>
          <w:szCs w:val="24"/>
        </w:rPr>
        <w:t>tono di individuare i livelli di sviluppo degli apprendimenti, al fine di porre in essere i necessari interventi correttivi a livello organizzativo e di offerta formativa.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prove INVALSI vengono somministrate, attenendosi scrupolosamente ai protocolli m</w:t>
      </w:r>
      <w:r>
        <w:rPr>
          <w:color w:val="000000"/>
          <w:sz w:val="24"/>
          <w:szCs w:val="24"/>
        </w:rPr>
        <w:t>inisteriali, nelle seguenti classi:</w:t>
      </w:r>
    </w:p>
    <w:p w:rsidR="00C73CB1" w:rsidRDefault="005F65B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classi 2^ della scuola primaria (prova di italiano e di matematica);</w:t>
      </w:r>
    </w:p>
    <w:p w:rsidR="00C73CB1" w:rsidRDefault="005F65B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classi 5^ della scuola primaria (prova di italiano, di matematica e di inglese);</w:t>
      </w:r>
    </w:p>
    <w:p w:rsidR="00C73CB1" w:rsidRDefault="005F65B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classi 3^ della scuola secondaria di 1° grado (prova di italiano, di matematica e di inglese).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presenza alle prove INVALSI rappresenta condizione essenziale per l’ammissione all’Esame di Stato conclusivo del 1° ciclo di Istruzione.</w:t>
      </w:r>
    </w:p>
    <w:p w:rsidR="00C73CB1" w:rsidRDefault="005F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esiti delle prove INVALSI della cl.3^ della sc. secondaria vengono consegnati alle famiglie degli alunni unitamente al documento di valutazione del 2° quadrimestre e alla certificazione delle competenze.</w:t>
      </w:r>
    </w:p>
    <w:p w:rsidR="00C73CB1" w:rsidRDefault="00C73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sectPr w:rsidR="00C73C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0" w:right="920" w:bottom="776" w:left="94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B3" w:rsidRDefault="005F65B3">
      <w:r>
        <w:separator/>
      </w:r>
    </w:p>
  </w:endnote>
  <w:endnote w:type="continuationSeparator" w:id="0">
    <w:p w:rsidR="005F65B3" w:rsidRDefault="005F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B3" w:rsidRDefault="005F65B3">
      <w:r>
        <w:separator/>
      </w:r>
    </w:p>
  </w:footnote>
  <w:footnote w:type="continuationSeparator" w:id="0">
    <w:p w:rsidR="005F65B3" w:rsidRDefault="005F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3"/>
      <w:tblW w:w="10362" w:type="dxa"/>
      <w:tblInd w:w="-174" w:type="dxa"/>
      <w:tblLayout w:type="fixed"/>
      <w:tblLook w:val="0000" w:firstRow="0" w:lastRow="0" w:firstColumn="0" w:lastColumn="0" w:noHBand="0" w:noVBand="0"/>
    </w:tblPr>
    <w:tblGrid>
      <w:gridCol w:w="1417"/>
      <w:gridCol w:w="7363"/>
      <w:gridCol w:w="1582"/>
    </w:tblGrid>
    <w:tr w:rsidR="00C73CB1">
      <w:trPr>
        <w:trHeight w:val="1540"/>
      </w:trPr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"/>
            </w:tabs>
            <w:spacing w:before="160"/>
            <w:ind w:left="-108"/>
            <w:jc w:val="center"/>
            <w:rPr>
              <w:color w:val="000000"/>
              <w:sz w:val="26"/>
              <w:szCs w:val="26"/>
            </w:rPr>
          </w:pPr>
          <w:r>
            <w:rPr>
              <w:b/>
              <w:noProof/>
              <w:color w:val="000000"/>
              <w:sz w:val="26"/>
              <w:szCs w:val="26"/>
            </w:rPr>
            <w:drawing>
              <wp:inline distT="0" distB="0" distL="114300" distR="114300">
                <wp:extent cx="644525" cy="64389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3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73CB1" w:rsidRDefault="00C73C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6"/>
              <w:szCs w:val="26"/>
            </w:rPr>
          </w:pPr>
        </w:p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23"/>
              <w:szCs w:val="23"/>
            </w:rPr>
            <w:t>ISTITUTO COMPRENSIVO STATALE “TINA MERLIN” DI BELLUNO</w:t>
          </w:r>
        </w:p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SCUOLE INFANZIA - SCUOLE PRIMARIE - SCUOLA SECONDARIA 1° GRADO</w:t>
          </w:r>
        </w:p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58" w:hanging="58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Via Mur di Cadola,12  - 32100 BELLUNO     Tel.0437931814     C.F. 93049270254</w:t>
          </w:r>
        </w:p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hyperlink r:id="rId2">
            <w:r>
              <w:rPr>
                <w:color w:val="0000FF"/>
                <w:sz w:val="18"/>
                <w:szCs w:val="18"/>
                <w:u w:val="single"/>
              </w:rPr>
              <w:t>www.ictinamerlin.gov.it</w:t>
            </w:r>
          </w:hyperlink>
          <w:r>
            <w:rPr>
              <w:color w:val="000000"/>
              <w:sz w:val="24"/>
              <w:szCs w:val="24"/>
            </w:rPr>
            <w:t xml:space="preserve">   - </w:t>
          </w:r>
          <w:r>
            <w:rPr>
              <w:color w:val="000000"/>
              <w:sz w:val="18"/>
              <w:szCs w:val="18"/>
            </w:rPr>
            <w:t xml:space="preserve"> </w:t>
          </w:r>
          <w:hyperlink r:id="rId3">
            <w:r>
              <w:rPr>
                <w:color w:val="0000FF"/>
                <w:sz w:val="18"/>
                <w:szCs w:val="18"/>
                <w:u w:val="single"/>
              </w:rPr>
              <w:t>blic831003@pec.istruzione.it</w:t>
            </w:r>
          </w:hyperlink>
          <w:r>
            <w:rPr>
              <w:color w:val="000000"/>
              <w:sz w:val="18"/>
              <w:szCs w:val="18"/>
            </w:rPr>
            <w:t xml:space="preserve"> - </w:t>
          </w:r>
          <w:hyperlink r:id="rId4">
            <w:r>
              <w:rPr>
                <w:color w:val="0000FF"/>
                <w:sz w:val="18"/>
                <w:szCs w:val="18"/>
                <w:u w:val="single"/>
              </w:rPr>
              <w:t>blic831003@.istruzione.it</w:t>
            </w:r>
          </w:hyperlink>
        </w:p>
      </w:tc>
      <w:tc>
        <w:tcPr>
          <w:tcW w:w="15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80"/>
            <w:ind w:left="-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903605" cy="659130"/>
                <wp:effectExtent l="0" t="0" r="0" b="0"/>
                <wp:docPr id="10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659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4"/>
      <w:tblW w:w="10662" w:type="dxa"/>
      <w:tblInd w:w="-474" w:type="dxa"/>
      <w:tblLayout w:type="fixed"/>
      <w:tblLook w:val="0000" w:firstRow="0" w:lastRow="0" w:firstColumn="0" w:lastColumn="0" w:noHBand="0" w:noVBand="0"/>
    </w:tblPr>
    <w:tblGrid>
      <w:gridCol w:w="1560"/>
      <w:gridCol w:w="7379"/>
      <w:gridCol w:w="1723"/>
    </w:tblGrid>
    <w:tr w:rsidR="00C73CB1">
      <w:trPr>
        <w:trHeight w:val="1540"/>
      </w:trPr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"/>
            </w:tabs>
            <w:spacing w:before="160"/>
            <w:ind w:left="-108"/>
            <w:jc w:val="center"/>
            <w:rPr>
              <w:color w:val="000000"/>
              <w:sz w:val="26"/>
              <w:szCs w:val="26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44525" cy="643890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3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73CB1" w:rsidRDefault="00C73C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6"/>
              <w:szCs w:val="26"/>
            </w:rPr>
          </w:pPr>
        </w:p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23"/>
              <w:szCs w:val="23"/>
            </w:rPr>
            <w:t>ISTITUTO COMPRENSIVO STATALE “TINA MERLIN” DI BELLUNO</w:t>
          </w:r>
        </w:p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SCUOLE INFANZIA - SCUOLE PRIMARIE - SCUOLA SECONDARIA 1° GRADO</w:t>
          </w:r>
        </w:p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58" w:hanging="58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Via Mur di Cadola,12  - 32100 BELLUNO     Tel.0437931814     C.F. 93049270254</w:t>
          </w:r>
        </w:p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hyperlink r:id="rId2">
            <w:r>
              <w:rPr>
                <w:color w:val="0000FF"/>
                <w:sz w:val="18"/>
                <w:szCs w:val="18"/>
                <w:u w:val="single"/>
              </w:rPr>
              <w:t>www.ictinamerlin.gov.it</w:t>
            </w:r>
          </w:hyperlink>
          <w:r>
            <w:rPr>
              <w:color w:val="000000"/>
              <w:sz w:val="24"/>
              <w:szCs w:val="24"/>
            </w:rPr>
            <w:t xml:space="preserve">   - </w:t>
          </w:r>
          <w:r>
            <w:rPr>
              <w:color w:val="000000"/>
              <w:sz w:val="18"/>
              <w:szCs w:val="18"/>
            </w:rPr>
            <w:t xml:space="preserve"> </w:t>
          </w:r>
          <w:hyperlink r:id="rId3">
            <w:r>
              <w:rPr>
                <w:color w:val="0000FF"/>
                <w:sz w:val="18"/>
                <w:szCs w:val="18"/>
                <w:u w:val="single"/>
              </w:rPr>
              <w:t>blic831003@pec.istruzione.it</w:t>
            </w:r>
          </w:hyperlink>
          <w:r>
            <w:rPr>
              <w:color w:val="000000"/>
              <w:sz w:val="18"/>
              <w:szCs w:val="18"/>
            </w:rPr>
            <w:t xml:space="preserve"> - </w:t>
          </w:r>
          <w:hyperlink r:id="rId4">
            <w:r>
              <w:rPr>
                <w:color w:val="0000FF"/>
                <w:sz w:val="18"/>
                <w:szCs w:val="18"/>
                <w:u w:val="single"/>
              </w:rPr>
              <w:t>blic831003@.istruzione.it</w:t>
            </w:r>
          </w:hyperlink>
        </w:p>
      </w:tc>
      <w:tc>
        <w:tcPr>
          <w:tcW w:w="17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CB1" w:rsidRDefault="005F65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80"/>
            <w:ind w:left="-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974090" cy="659130"/>
                <wp:effectExtent l="0" t="0" r="0" b="0"/>
                <wp:docPr id="103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090" cy="659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B1" w:rsidRDefault="00C73CB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4F0"/>
    <w:multiLevelType w:val="multilevel"/>
    <w:tmpl w:val="19229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2781962"/>
    <w:multiLevelType w:val="multilevel"/>
    <w:tmpl w:val="16506124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A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4296437"/>
    <w:multiLevelType w:val="multilevel"/>
    <w:tmpl w:val="B4FCCABA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7D8566E"/>
    <w:multiLevelType w:val="multilevel"/>
    <w:tmpl w:val="1C9285CC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A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9B54AB6"/>
    <w:multiLevelType w:val="multilevel"/>
    <w:tmpl w:val="BE4637E0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4B302A4"/>
    <w:multiLevelType w:val="multilevel"/>
    <w:tmpl w:val="1D7A29E8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B5142D3"/>
    <w:multiLevelType w:val="multilevel"/>
    <w:tmpl w:val="BCEE8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6FC54A9"/>
    <w:multiLevelType w:val="multilevel"/>
    <w:tmpl w:val="607A95E0"/>
    <w:lvl w:ilvl="0">
      <w:start w:val="1"/>
      <w:numFmt w:val="bullet"/>
      <w:lvlText w:val="✔"/>
      <w:lvlJc w:val="left"/>
      <w:pPr>
        <w:ind w:left="832" w:hanging="360"/>
      </w:pPr>
      <w:rPr>
        <w:rFonts w:ascii="Noto Sans Symbols" w:eastAsia="Noto Sans Symbols" w:hAnsi="Noto Sans Symbols" w:cs="Noto Sans Symbols"/>
        <w:b w:val="0"/>
        <w:color w:val="00000A"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93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•"/>
      <w:lvlJc w:val="left"/>
      <w:pPr>
        <w:ind w:left="1925" w:hanging="360"/>
      </w:pPr>
      <w:rPr>
        <w:rFonts w:ascii="Liberation Serif" w:eastAsia="Liberation Serif" w:hAnsi="Liberation Serif" w:cs="Liberation Serif"/>
        <w:vertAlign w:val="baseline"/>
      </w:rPr>
    </w:lvl>
    <w:lvl w:ilvl="3">
      <w:numFmt w:val="bullet"/>
      <w:lvlText w:val="•"/>
      <w:lvlJc w:val="left"/>
      <w:pPr>
        <w:ind w:left="2918" w:hanging="360"/>
      </w:pPr>
      <w:rPr>
        <w:rFonts w:ascii="Liberation Serif" w:eastAsia="Liberation Serif" w:hAnsi="Liberation Serif" w:cs="Liberation Serif"/>
        <w:vertAlign w:val="baseline"/>
      </w:rPr>
    </w:lvl>
    <w:lvl w:ilvl="4">
      <w:numFmt w:val="bullet"/>
      <w:lvlText w:val="•"/>
      <w:lvlJc w:val="left"/>
      <w:pPr>
        <w:ind w:left="3910" w:hanging="360"/>
      </w:pPr>
      <w:rPr>
        <w:rFonts w:ascii="Liberation Serif" w:eastAsia="Liberation Serif" w:hAnsi="Liberation Serif" w:cs="Liberation Serif"/>
        <w:vertAlign w:val="baseline"/>
      </w:rPr>
    </w:lvl>
    <w:lvl w:ilvl="5">
      <w:numFmt w:val="bullet"/>
      <w:lvlText w:val="•"/>
      <w:lvlJc w:val="left"/>
      <w:pPr>
        <w:ind w:left="4903" w:hanging="360"/>
      </w:pPr>
      <w:rPr>
        <w:rFonts w:ascii="Liberation Serif" w:eastAsia="Liberation Serif" w:hAnsi="Liberation Serif" w:cs="Liberation Serif"/>
        <w:vertAlign w:val="baseline"/>
      </w:rPr>
    </w:lvl>
    <w:lvl w:ilvl="6">
      <w:numFmt w:val="bullet"/>
      <w:lvlText w:val="•"/>
      <w:lvlJc w:val="left"/>
      <w:pPr>
        <w:ind w:left="5895" w:hanging="360"/>
      </w:pPr>
      <w:rPr>
        <w:rFonts w:ascii="Liberation Serif" w:eastAsia="Liberation Serif" w:hAnsi="Liberation Serif" w:cs="Liberation Serif"/>
        <w:vertAlign w:val="baseline"/>
      </w:rPr>
    </w:lvl>
    <w:lvl w:ilvl="7">
      <w:numFmt w:val="bullet"/>
      <w:lvlText w:val="•"/>
      <w:lvlJc w:val="left"/>
      <w:pPr>
        <w:ind w:left="6888" w:hanging="360"/>
      </w:pPr>
      <w:rPr>
        <w:rFonts w:ascii="Liberation Serif" w:eastAsia="Liberation Serif" w:hAnsi="Liberation Serif" w:cs="Liberation Serif"/>
        <w:vertAlign w:val="baseline"/>
      </w:rPr>
    </w:lvl>
    <w:lvl w:ilvl="8">
      <w:numFmt w:val="bullet"/>
      <w:lvlText w:val="•"/>
      <w:lvlJc w:val="left"/>
      <w:pPr>
        <w:ind w:left="7881" w:hanging="360"/>
      </w:pPr>
      <w:rPr>
        <w:rFonts w:ascii="Liberation Serif" w:eastAsia="Liberation Serif" w:hAnsi="Liberation Serif" w:cs="Liberation Serif"/>
        <w:vertAlign w:val="baseline"/>
      </w:rPr>
    </w:lvl>
  </w:abstractNum>
  <w:abstractNum w:abstractNumId="8">
    <w:nsid w:val="57174E95"/>
    <w:multiLevelType w:val="multilevel"/>
    <w:tmpl w:val="D75EB24A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77E56FC"/>
    <w:multiLevelType w:val="multilevel"/>
    <w:tmpl w:val="A78E7FE8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A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05B2815"/>
    <w:multiLevelType w:val="multilevel"/>
    <w:tmpl w:val="D69A8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79442BA"/>
    <w:multiLevelType w:val="multilevel"/>
    <w:tmpl w:val="441412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A4E591A"/>
    <w:multiLevelType w:val="multilevel"/>
    <w:tmpl w:val="F962BF24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7FF071BC"/>
    <w:multiLevelType w:val="multilevel"/>
    <w:tmpl w:val="133A0F92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CB1"/>
    <w:rsid w:val="00452E4F"/>
    <w:rsid w:val="005F65B3"/>
    <w:rsid w:val="00C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">
    <w:name w:val="Normal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customStyle="1" w:styleId="Carpredefinitoparagrafo">
    <w:name w:val="Car. predefinito paragraf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">
    <w:name w:val="Tabella 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">
    <w:name w:val="Nessun elenco"/>
    <w:qFormat/>
  </w:style>
  <w:style w:type="character" w:customStyle="1" w:styleId="WW8Num1z0">
    <w:name w:val="WW8Num1z0"/>
    <w:rPr>
      <w:rFonts w:ascii="Courier New" w:hAnsi="Courier New" w:cs="Courier New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man Old Style" w:eastAsia="Times New Roman" w:hAnsi="Bookman Old Style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Symbol" w:hAnsi="Symbol" w:cs="Symbol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man Old Style" w:eastAsia="Times New Roman" w:hAnsi="Bookman Old Style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 w:cs="Wingdings" w:hint="default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Symbol" w:hAnsi="Symbol" w:cs="Symbol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llegamentoipertestuale">
    <w:name w:val="Collegamento ipertestual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fasigrassetto">
    <w:name w:val="Enfasi (grassetto)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before="29"/>
      <w:ind w:left="832" w:firstLine="0"/>
    </w:pPr>
  </w:style>
  <w:style w:type="paragraph" w:customStyle="1" w:styleId="Elenco">
    <w:name w:val="Elenco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1">
    <w:name w:val="Heading 11"/>
    <w:basedOn w:val="Normale"/>
    <w:pPr>
      <w:spacing w:before="33"/>
      <w:ind w:left="112" w:firstLine="0"/>
    </w:pPr>
    <w:rPr>
      <w:b/>
      <w:bCs/>
    </w:rPr>
  </w:style>
  <w:style w:type="paragraph" w:customStyle="1" w:styleId="Paragrafoelenco">
    <w:name w:val="Paragrafo elenco"/>
    <w:basedOn w:val="Normale"/>
  </w:style>
  <w:style w:type="paragraph" w:customStyle="1" w:styleId="TableParagraph">
    <w:name w:val="Table Paragraph"/>
    <w:basedOn w:val="Normale"/>
  </w:style>
  <w:style w:type="paragraph" w:customStyle="1" w:styleId="Testofumetto">
    <w:name w:val="Testo fumetto"/>
    <w:basedOn w:val="Normale"/>
    <w:rPr>
      <w:rFonts w:ascii="Tahoma" w:hAnsi="Tahoma" w:cs="Tahoma"/>
      <w:sz w:val="16"/>
      <w:szCs w:val="16"/>
    </w:rPr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</w:pPr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Grigliatabella">
    <w:name w:val="Griglia tabella"/>
    <w:basedOn w:val="Tabellanormal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">
    <w:name w:val="Normal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customStyle="1" w:styleId="Carpredefinitoparagrafo">
    <w:name w:val="Car. predefinito paragraf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">
    <w:name w:val="Tabella 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">
    <w:name w:val="Nessun elenco"/>
    <w:qFormat/>
  </w:style>
  <w:style w:type="character" w:customStyle="1" w:styleId="WW8Num1z0">
    <w:name w:val="WW8Num1z0"/>
    <w:rPr>
      <w:rFonts w:ascii="Courier New" w:hAnsi="Courier New" w:cs="Courier New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man Old Style" w:eastAsia="Times New Roman" w:hAnsi="Bookman Old Style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Symbol" w:hAnsi="Symbol" w:cs="Symbol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man Old Style" w:eastAsia="Times New Roman" w:hAnsi="Bookman Old Style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 w:cs="Wingdings" w:hint="default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Symbol" w:hAnsi="Symbol" w:cs="Symbol"/>
      <w:b w:val="0"/>
      <w:bCs w:val="0"/>
      <w:color w:val="00000A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llegamentoipertestuale">
    <w:name w:val="Collegamento ipertestual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fasigrassetto">
    <w:name w:val="Enfasi (grassetto)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before="29"/>
      <w:ind w:left="832" w:firstLine="0"/>
    </w:pPr>
  </w:style>
  <w:style w:type="paragraph" w:customStyle="1" w:styleId="Elenco">
    <w:name w:val="Elenco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1">
    <w:name w:val="Heading 11"/>
    <w:basedOn w:val="Normale"/>
    <w:pPr>
      <w:spacing w:before="33"/>
      <w:ind w:left="112" w:firstLine="0"/>
    </w:pPr>
    <w:rPr>
      <w:b/>
      <w:bCs/>
    </w:rPr>
  </w:style>
  <w:style w:type="paragraph" w:customStyle="1" w:styleId="Paragrafoelenco">
    <w:name w:val="Paragrafo elenco"/>
    <w:basedOn w:val="Normale"/>
  </w:style>
  <w:style w:type="paragraph" w:customStyle="1" w:styleId="TableParagraph">
    <w:name w:val="Table Paragraph"/>
    <w:basedOn w:val="Normale"/>
  </w:style>
  <w:style w:type="paragraph" w:customStyle="1" w:styleId="Testofumetto">
    <w:name w:val="Testo fumetto"/>
    <w:basedOn w:val="Normale"/>
    <w:rPr>
      <w:rFonts w:ascii="Tahoma" w:hAnsi="Tahoma" w:cs="Tahoma"/>
      <w:sz w:val="16"/>
      <w:szCs w:val="16"/>
    </w:rPr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</w:pPr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Grigliatabella">
    <w:name w:val="Griglia tabella"/>
    <w:basedOn w:val="Tabellanormal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gov.i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about:blank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gov.i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9q3jkd2asrJUtorG9zMDrZbfNw==">AMUW2mUo28Fh75AIgIVj0NxIMMbIXT/UCT+jNONdFKwVC6GZP/m3KsPKKeGg5R16VCuzGGIhX8LbrBrml6EkOzSiB4mVRAIp2F5F1Oi32olRkG4EHiaFhhGksffRJp/KzNUfGstPeAKe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2</cp:revision>
  <dcterms:created xsi:type="dcterms:W3CDTF">2020-05-19T11:38:00Z</dcterms:created>
  <dcterms:modified xsi:type="dcterms:W3CDTF">2020-05-19T11:38:00Z</dcterms:modified>
</cp:coreProperties>
</file>